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FC" w:rsidRDefault="00507CBA">
      <w:bookmarkStart w:id="0" w:name="_GoBack"/>
      <w:r>
        <w:rPr>
          <w:rFonts w:ascii="Helvetica" w:hAnsi="Helvetica" w:cs="Helvetica"/>
          <w:b/>
          <w:bCs/>
          <w:color w:val="333333"/>
          <w:sz w:val="21"/>
          <w:szCs w:val="21"/>
        </w:rPr>
        <w:t>Course Outline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b/>
          <w:bCs/>
          <w:strike/>
          <w:color w:val="333333"/>
          <w:sz w:val="21"/>
          <w:szCs w:val="21"/>
        </w:rPr>
        <w:t>1. Taking Off with Tableau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--The Cycle of Analytics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--Connecting to Data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--Foundations of Building Visualizations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--Visualizing Data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--Putting Everything Together in a Dashboard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b/>
          <w:bCs/>
          <w:strike/>
          <w:color w:val="333333"/>
          <w:sz w:val="21"/>
          <w:szCs w:val="21"/>
        </w:rPr>
        <w:t>2. Working with Data in Tableau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--The Tableau Paradigm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--Connecting to Various Types of Data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--Managing Data Source Metadata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--Working with Extracts Instead of Live Connections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--Tableau File Types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--Joins and Blends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--Filtering Data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3. Venturing on to Advanced Visualizations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--Comparing Values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--Visualizing Dates and Times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--Relating Parts of the Data to the Whole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--Visualizing Distributions and Multiple Axes to Compare Different Measures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b/>
          <w:bCs/>
          <w:strike/>
          <w:color w:val="333333"/>
          <w:sz w:val="21"/>
          <w:szCs w:val="21"/>
        </w:rPr>
        <w:t>4. Starting an Adventure with Calculations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--Row-Level and Aggregate-Level Calculations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--Level of Detail Calculations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--Parameters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--Ad Hoc Calculations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--Performance Considerations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5. Diving Deep with Table Calculations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--Quick Table Calculations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 xml:space="preserve">--Relative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Versus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 xml:space="preserve"> Fixed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--Custom Table Calculations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--Data Densification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6. Making Visualizations that Look Great and Work Well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--Visualization Considerations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--Leveraging Formatting in Tableau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--Adding Value to Visualizations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7. Telling a Data Story with Dashboards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--Key Concepts for Dashboards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--Designing Dashboards in Tableau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--Designing for Different Displays and Devices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--How Actions Work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--Stories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8. Digging Deeper – Trends, Clustering, Distributions and Forecasting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--Trends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--Clustering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--Distributions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--Forecasting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9. Cleaning and Structuring Messy Data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--Structuring Data for Tableau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--Dealing with Data Structure Issues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--Overview of Advanced Fixes for Data Problems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10. Introducing Tableau Prep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--Getting Prepped to Explore Tableau Prep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--Understanding the Tableau Prep Builder Interface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--Flowing with the Fundamental Paradigm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11. Advanced Visualizations, Techniques, Tips, and Tricks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--Advanced Visualizations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--Sheet Swapping and Dynamic Dashboards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--Mapping Techniques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--Using Background Images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--Animation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--Transparency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b/>
          <w:bCs/>
          <w:strike/>
          <w:color w:val="333333"/>
          <w:sz w:val="21"/>
          <w:szCs w:val="21"/>
        </w:rPr>
        <w:t>12. Sharing your Data Story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--Presenting, Printing, and Exporting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--Sharing with Users of Tableau Desktop or Tableau Reader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r w:rsidRPr="00507CBA">
        <w:rPr>
          <w:rFonts w:ascii="Helvetica" w:hAnsi="Helvetica" w:cs="Helvetica"/>
          <w:strike/>
          <w:color w:val="333333"/>
          <w:sz w:val="21"/>
          <w:szCs w:val="21"/>
          <w:shd w:val="clear" w:color="auto" w:fill="F8F8F8"/>
        </w:rPr>
        <w:t>--Sharing with Users of Tableau Server, Tableau Online, and Tableau Public</w:t>
      </w:r>
      <w:r w:rsidRPr="00507CBA">
        <w:rPr>
          <w:rFonts w:ascii="Helvetica" w:hAnsi="Helvetica" w:cs="Helvetica"/>
          <w:strike/>
          <w:color w:val="333333"/>
          <w:sz w:val="21"/>
          <w:szCs w:val="21"/>
        </w:rPr>
        <w:br/>
      </w:r>
      <w:hyperlink r:id="rId4" w:history="1">
        <w:r>
          <w:rPr>
            <w:rStyle w:val="Hyperlink"/>
            <w:rFonts w:ascii="Helvetica" w:hAnsi="Helvetica" w:cs="Helvetica"/>
            <w:color w:val="394891"/>
            <w:sz w:val="21"/>
            <w:szCs w:val="21"/>
            <w:u w:val="none"/>
          </w:rPr>
          <w:t>View outline in Word</w:t>
        </w:r>
      </w:hyperlink>
      <w:bookmarkEnd w:id="0"/>
    </w:p>
    <w:sectPr w:rsidR="0023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BA"/>
    <w:rsid w:val="002300FC"/>
    <w:rsid w:val="00507CBA"/>
    <w:rsid w:val="009503D5"/>
    <w:rsid w:val="00A7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10324-D9EE-4278-AFAB-0B922756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c.com/scripts/wordfmt.asp?ccode=XTB120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Parker</dc:creator>
  <cp:keywords/>
  <dc:description/>
  <cp:lastModifiedBy>MJ Parker</cp:lastModifiedBy>
  <cp:revision>2</cp:revision>
  <dcterms:created xsi:type="dcterms:W3CDTF">2020-06-15T21:19:00Z</dcterms:created>
  <dcterms:modified xsi:type="dcterms:W3CDTF">2020-06-15T21:19:00Z</dcterms:modified>
</cp:coreProperties>
</file>