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185"/>
        <w:rPr>
          <w:rFonts w:ascii="Times New Roman" w:hAnsi="Times New Roman"/>
        </w:rPr>
      </w:pPr>
      <w:r>
        <w:rPr>
          <w:rFonts w:ascii="Times New Roman" w:hAnsi="Times New Roman"/>
        </w:rPr>
      </w:r>
      <w:r>
        <w:rPr>
          <w:rFonts w:ascii="Times New Roman" w:hAnsi="Times New Roman"/>
        </w:rPr>
      </w:r>
      <w:r/>
    </w:p>
    <w:p>
      <w:pPr>
        <w:pStyle w:val="185"/>
        <w:jc w:val="center"/>
        <w:rPr>
          <w:rFonts w:ascii="Times New Roman" w:hAnsi="Times New Roman" w:hint="default"/>
          <w:b/>
          <w:sz w:val="36"/>
        </w:rPr>
      </w:pPr>
      <w:r>
        <w:rPr>
          <w:rFonts w:ascii="Times New Roman" w:hAnsi="Times New Roman" w:hint="cs"/>
          <w:b/>
          <w:sz w:val="36"/>
          <w:szCs w:val="36"/>
        </w:rPr>
      </w:r>
      <w:r>
        <w:rPr>
          <w:rFonts w:ascii="Times New Roman" w:hAnsi="Times New Roman"/>
          <w:b/>
          <w:sz w:val="36"/>
          <w:szCs w:val="36"/>
        </w:rPr>
        <w:t xml:space="preserve">Contract for Sale of Goods</w:t>
      </w:r>
      <w:r/>
    </w:p>
    <w:p>
      <w:pPr>
        <w:pStyle w:val="185"/>
        <w:rPr>
          <w:rFonts w:ascii="Times New Roman" w:hAnsi="Times New Roman"/>
        </w:rPr>
      </w:pPr>
      <w:r>
        <w:rPr>
          <w:rFonts w:ascii="Times New Roman" w:hAnsi="Times New Roman"/>
        </w:rPr>
      </w:r>
      <w:r/>
    </w:p>
    <w:p>
      <w:pPr>
        <w:pStyle w:val="140"/>
      </w:pPr>
      <w:r>
        <w:t xml:space="preserve">This Contract for Sale of Goods is made this 14 day of</w:t>
      </w:r>
      <w:commentRangeStart w:id="0"/>
      <w:commentRangeStart w:id="1"/>
      <w:r>
        <w:t xml:space="preserve"> July</w:t>
      </w:r>
      <w:commentRangeEnd w:id="0"/>
      <w:commentRangeEnd w:id="1"/>
      <w:r>
        <w:commentReference w:id="0"/>
        <w:commentReference w:id="1"/>
      </w:r>
      <w:r>
        <w:t xml:space="preserve">, 2016 by and between __ABC Company__ (“</w:t>
      </w:r>
      <w:commentRangeStart w:id="2"/>
      <w:r>
        <w:t xml:space="preserve">Seller</w:t>
      </w:r>
      <w:commentRangeEnd w:id="2"/>
      <w:r>
        <w:commentReference w:id="2"/>
      </w:r>
      <w:r>
        <w:t xml:space="preserve">”) with its principal place of business at ___&lt;location&gt;________, and </w:t>
      </w:r>
      <w:commentRangeStart w:id="3"/>
      <w:commentRangeStart w:id="4"/>
      <w:r>
        <w:t xml:space="preserve">__David Connor__, </w:t>
      </w:r>
      <w:commentRangeEnd w:id="3"/>
      <w:commentRangeEnd w:id="4"/>
      <w:r>
        <w:commentReference w:id="3"/>
        <w:commentReference w:id="4"/>
      </w:r>
      <w:r>
        <w:t xml:space="preserve">(“Buyer”) with its principal place of business at ___&lt;location&gt;________, for the purchase of the goods described below:  </w:t>
        <w:tab/>
      </w:r>
      <w:r/>
    </w:p>
    <w:p>
      <w:pPr>
        <w:pStyle w:val="185"/>
        <w:rPr>
          <w:rFonts w:ascii="Times New Roman" w:hAnsi="Times New Roman"/>
        </w:rPr>
      </w:pPr>
      <w:r>
        <w:rPr>
          <w:rFonts w:ascii="Times New Roman" w:hAnsi="Times New Roman"/>
        </w:rPr>
      </w:r>
      <w:r/>
    </w:p>
    <w:p>
      <w:pPr>
        <w:pStyle w:val="185"/>
        <w:rPr>
          <w:rFonts w:ascii="Times New Roman" w:hAnsi="Times New Roman"/>
        </w:rPr>
      </w:pPr>
      <w:r>
        <w:rPr>
          <w:rFonts w:ascii="Times New Roman" w:hAnsi="Times New Roman"/>
        </w:rPr>
      </w:r>
      <w:r/>
    </w:p>
    <w:tbl>
      <w:tblPr>
        <w:tblW w:w="9963" w:type="dxa"/>
        <w:tblInd w:w="180"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ayout w:type="fixed"/>
        <w:tblCellMar>
          <w:left w:w="108" w:type="dxa"/>
          <w:top w:w="0" w:type="dxa"/>
          <w:right w:w="108" w:type="dxa"/>
          <w:bottom w:w="0" w:type="dxa"/>
        </w:tblCellMar>
        <w:tblLook w:val="04A0" w:firstRow="1" w:lastRow="0" w:firstColumn="1" w:lastColumn="0" w:noHBand="0" w:noVBand="1"/>
      </w:tblPr>
      <w:tblGrid>
        <w:gridCol w:w="738"/>
        <w:gridCol w:w="1170"/>
        <w:gridCol w:w="4559"/>
        <w:gridCol w:w="1748"/>
        <w:gridCol w:w="1748"/>
      </w:tblGrid>
      <w:tr>
        <w:trPr>
          <w:trHeight w:val="152"/>
        </w:trPr>
        <w:tc>
          <w:tcPr>
            <w:tcBorders>
              <w:left w:val="single" w:color="000000" w:sz="8" w:space="0"/>
              <w:top w:val="single" w:color="000000" w:sz="8" w:space="0"/>
              <w:right w:val="single" w:color="000000" w:sz="8" w:space="0"/>
              <w:bottom w:val="single" w:color="000000" w:sz="8" w:space="0"/>
            </w:tcBorders>
            <w:tcW w:w="738" w:type="dxa"/>
            <w:vAlign w:val="top"/>
            <w:textDirection w:val="lrTb"/>
            <w:noWrap w:val="false"/>
          </w:tcPr>
          <w:p>
            <w:pPr>
              <w:pStyle w:val="185"/>
              <w:rPr>
                <w:rFonts w:ascii="Times New Roman" w:hAnsi="Times New Roman" w:hint="default"/>
              </w:rPr>
            </w:pPr>
            <w:r>
              <w:rPr>
                <w:rFonts w:ascii="Times New Roman" w:hAnsi="Times New Roman" w:hint="default"/>
              </w:rPr>
              <w:t xml:space="preserve"> </w:t>
            </w:r>
            <w:r>
              <w:rPr>
                <w:rFonts w:ascii="Times New Roman" w:hAnsi="Times New Roman" w:hint="default"/>
                <w:b/>
                <w:bCs/>
              </w:rPr>
              <w:t xml:space="preserve">Qty.  </w:t>
            </w:r>
            <w:r/>
          </w:p>
        </w:tc>
        <w:tc>
          <w:tcPr>
            <w:tcBorders>
              <w:left w:val="single" w:color="000000" w:sz="8" w:space="0"/>
              <w:top w:val="single" w:color="000000" w:sz="8" w:space="0"/>
              <w:right w:val="single" w:color="000000" w:sz="8" w:space="0"/>
              <w:bottom w:val="single" w:color="000000" w:sz="8" w:space="0"/>
            </w:tcBorders>
            <w:tcW w:w="1170" w:type="dxa"/>
            <w:vAlign w:val="top"/>
            <w:textDirection w:val="lrTb"/>
            <w:noWrap w:val="false"/>
          </w:tcPr>
          <w:p>
            <w:pPr>
              <w:pStyle w:val="185"/>
              <w:rPr>
                <w:rFonts w:ascii="Times New Roman" w:hAnsi="Times New Roman" w:hint="default"/>
              </w:rPr>
            </w:pPr>
            <w:r>
              <w:rPr>
                <w:rFonts w:ascii="Times New Roman" w:hAnsi="Times New Roman" w:hint="default"/>
                <w:b/>
                <w:bCs/>
              </w:rPr>
              <w:t xml:space="preserve">Item # </w:t>
            </w:r>
            <w:r/>
          </w:p>
        </w:tc>
        <w:tc>
          <w:tcPr>
            <w:tcBorders>
              <w:left w:val="single" w:color="000000" w:sz="8" w:space="0"/>
              <w:top w:val="single" w:color="000000" w:sz="8" w:space="0"/>
              <w:right w:val="single" w:color="000000" w:sz="8" w:space="0"/>
              <w:bottom w:val="single" w:color="000000" w:sz="8" w:space="0"/>
            </w:tcBorders>
            <w:tcW w:w="4559" w:type="dxa"/>
            <w:vAlign w:val="top"/>
            <w:textDirection w:val="lrTb"/>
            <w:noWrap w:val="false"/>
          </w:tcPr>
          <w:p>
            <w:pPr>
              <w:pStyle w:val="185"/>
              <w:rPr>
                <w:rFonts w:ascii="Times New Roman" w:hAnsi="Times New Roman" w:hint="default"/>
              </w:rPr>
            </w:pPr>
            <w:r>
              <w:rPr>
                <w:rFonts w:ascii="Times New Roman" w:hAnsi="Times New Roman" w:hint="default"/>
                <w:b/>
                <w:bCs/>
              </w:rPr>
              <w:t xml:space="preserve">Description </w:t>
            </w:r>
            <w:r/>
          </w:p>
        </w:tc>
        <w:tc>
          <w:tcPr>
            <w:tcBorders>
              <w:left w:val="single" w:color="000000" w:sz="8" w:space="0"/>
              <w:top w:val="single" w:color="000000" w:sz="8" w:space="0"/>
              <w:right w:val="single" w:color="000000" w:sz="8" w:space="0"/>
              <w:bottom w:val="single" w:color="000000" w:sz="8" w:space="0"/>
            </w:tcBorders>
            <w:tcW w:w="1748" w:type="dxa"/>
            <w:vAlign w:val="top"/>
            <w:textDirection w:val="lrTb"/>
            <w:noWrap w:val="false"/>
          </w:tcPr>
          <w:p>
            <w:pPr>
              <w:pStyle w:val="185"/>
              <w:rPr>
                <w:rFonts w:ascii="Times New Roman" w:hAnsi="Times New Roman" w:hint="default"/>
              </w:rPr>
            </w:pPr>
            <w:r>
              <w:rPr>
                <w:rFonts w:ascii="Times New Roman" w:hAnsi="Times New Roman" w:hint="default"/>
                <w:b/>
                <w:bCs/>
              </w:rPr>
              <w:t xml:space="preserve">Price </w:t>
            </w:r>
            <w:r/>
          </w:p>
        </w:tc>
        <w:tc>
          <w:tcPr>
            <w:tcBorders>
              <w:left w:val="single" w:color="000000" w:sz="8" w:space="0"/>
              <w:top w:val="single" w:color="000000" w:sz="8" w:space="0"/>
              <w:right w:val="single" w:color="000000" w:sz="8" w:space="0"/>
              <w:bottom w:val="single" w:color="000000" w:sz="8" w:space="0"/>
            </w:tcBorders>
            <w:tcW w:w="1748" w:type="dxa"/>
            <w:vAlign w:val="top"/>
            <w:textDirection w:val="lrTb"/>
            <w:noWrap w:val="false"/>
          </w:tcPr>
          <w:p>
            <w:pPr>
              <w:pStyle w:val="185"/>
              <w:rPr>
                <w:rFonts w:ascii="Times New Roman" w:hAnsi="Times New Roman" w:hint="default"/>
              </w:rPr>
            </w:pPr>
            <w:r>
              <w:rPr>
                <w:rFonts w:ascii="Times New Roman" w:hAnsi="Times New Roman" w:hint="default"/>
                <w:b/>
                <w:bCs/>
              </w:rPr>
              <w:t xml:space="preserve">Total </w:t>
            </w:r>
            <w:r/>
          </w:p>
        </w:tc>
      </w:tr>
      <w:tr>
        <w:trPr>
          <w:trHeight w:val="152"/>
        </w:trPr>
        <w:tc>
          <w:tcPr>
            <w:tcBorders>
              <w:left w:val="single" w:color="000000" w:sz="8" w:space="0"/>
              <w:top w:val="single" w:color="000000" w:sz="8" w:space="0"/>
              <w:right w:val="single" w:color="000000" w:sz="8" w:space="0"/>
              <w:bottom w:val="single" w:color="000000" w:sz="8" w:space="0"/>
            </w:tcBorders>
            <w:tcW w:w="738" w:type="dxa"/>
            <w:vAlign w:val="top"/>
            <w:textDirection w:val="lrTb"/>
            <w:noWrap w:val="false"/>
          </w:tcPr>
          <w:p>
            <w:pPr>
              <w:pStyle w:val="185"/>
              <w:rPr>
                <w:rFonts w:ascii="Times New Roman" w:hAnsi="Times New Roman" w:hint="default"/>
              </w:rPr>
            </w:pPr>
            <w:r>
              <w:t xml:space="preserve">6</w:t>
            </w:r>
            <w:r/>
          </w:p>
        </w:tc>
        <w:tc>
          <w:tcPr>
            <w:tcBorders>
              <w:left w:val="single" w:color="000000" w:sz="8" w:space="0"/>
              <w:top w:val="single" w:color="000000" w:sz="8" w:space="0"/>
              <w:right w:val="single" w:color="000000" w:sz="8" w:space="0"/>
              <w:bottom w:val="single" w:color="000000" w:sz="8" w:space="0"/>
            </w:tcBorders>
            <w:tcW w:w="1170" w:type="dxa"/>
            <w:vAlign w:val="top"/>
            <w:textDirection w:val="lrTb"/>
            <w:noWrap w:val="false"/>
          </w:tcPr>
          <w:p>
            <w:pPr>
              <w:pStyle w:val="185"/>
              <w:rPr>
                <w:rFonts w:ascii="Times New Roman" w:hAnsi="Times New Roman" w:hint="default"/>
                <w:b/>
              </w:rPr>
            </w:pPr>
            <w:r>
              <w:t xml:space="preserve">Licenses</w:t>
            </w:r>
            <w:r/>
          </w:p>
        </w:tc>
        <w:tc>
          <w:tcPr>
            <w:tcBorders>
              <w:left w:val="single" w:color="000000" w:sz="8" w:space="0"/>
              <w:top w:val="single" w:color="000000" w:sz="8" w:space="0"/>
              <w:right w:val="single" w:color="000000" w:sz="8" w:space="0"/>
              <w:bottom w:val="single" w:color="000000" w:sz="8" w:space="0"/>
            </w:tcBorders>
            <w:tcW w:w="4559" w:type="dxa"/>
            <w:vAlign w:val="top"/>
            <w:textDirection w:val="lrTb"/>
            <w:noWrap w:val="false"/>
          </w:tcPr>
          <w:p>
            <w:pPr>
              <w:pStyle w:val="185"/>
              <w:rPr>
                <w:rFonts w:ascii="Times New Roman" w:hAnsi="Times New Roman"/>
                <w:b/>
              </w:rPr>
            </w:pPr>
            <w:r>
              <w:rPr>
                <w:rFonts w:ascii="Times New Roman" w:hAnsi="Times New Roman"/>
                <w:b/>
              </w:rPr>
            </w:r>
            <w:r/>
          </w:p>
        </w:tc>
        <w:tc>
          <w:tcPr>
            <w:tcBorders>
              <w:left w:val="single" w:color="000000" w:sz="8" w:space="0"/>
              <w:top w:val="single" w:color="000000" w:sz="8" w:space="0"/>
              <w:right w:val="single" w:color="000000" w:sz="8" w:space="0"/>
              <w:bottom w:val="single" w:color="000000" w:sz="8" w:space="0"/>
            </w:tcBorders>
            <w:tcW w:w="1748" w:type="dxa"/>
            <w:vAlign w:val="top"/>
            <w:textDirection w:val="lrTb"/>
            <w:noWrap w:val="false"/>
          </w:tcPr>
          <w:p>
            <w:pPr>
              <w:pStyle w:val="185"/>
              <w:rPr>
                <w:rFonts w:ascii="Times New Roman" w:hAnsi="Times New Roman" w:hint="cs"/>
                <w:b/>
              </w:rPr>
            </w:pPr>
            <w:r>
              <w:t xml:space="preserve">$39</w:t>
            </w:r>
            <w:r/>
          </w:p>
        </w:tc>
        <w:tc>
          <w:tcPr>
            <w:tcBorders>
              <w:left w:val="single" w:color="000000" w:sz="8" w:space="0"/>
              <w:top w:val="single" w:color="000000" w:sz="8" w:space="0"/>
              <w:right w:val="single" w:color="000000" w:sz="8" w:space="0"/>
              <w:bottom w:val="single" w:color="000000" w:sz="8" w:space="0"/>
            </w:tcBorders>
            <w:tcW w:w="1748" w:type="dxa"/>
            <w:vAlign w:val="top"/>
            <w:textDirection w:val="lrTb"/>
            <w:noWrap w:val="false"/>
          </w:tcPr>
          <w:p>
            <w:pPr>
              <w:pStyle w:val="185"/>
              <w:rPr>
                <w:rFonts w:ascii="Times New Roman" w:hAnsi="Times New Roman" w:hint="default"/>
                <w:b/>
              </w:rPr>
            </w:pPr>
            <w:r>
              <w:t xml:space="preserve">$78</w:t>
            </w:r>
            <w:r/>
          </w:p>
        </w:tc>
      </w:tr>
      <w:tr>
        <w:trPr>
          <w:trHeight w:val="152"/>
        </w:trPr>
        <w:tc>
          <w:tcPr>
            <w:tcBorders>
              <w:left w:val="single" w:color="000000" w:sz="8" w:space="0"/>
              <w:top w:val="single" w:color="000000" w:sz="8" w:space="0"/>
              <w:right w:val="single" w:color="000000" w:sz="8" w:space="0"/>
              <w:bottom w:val="single" w:color="000000" w:sz="8" w:space="0"/>
            </w:tcBorders>
            <w:tcW w:w="738" w:type="dxa"/>
            <w:vAlign w:val="top"/>
            <w:textDirection w:val="lrTb"/>
            <w:noWrap w:val="false"/>
          </w:tcPr>
          <w:p>
            <w:pPr>
              <w:pStyle w:val="185"/>
              <w:rPr>
                <w:rFonts w:ascii="Times New Roman" w:hAnsi="Times New Roman" w:hint="default"/>
              </w:rPr>
            </w:pPr>
            <w:r>
              <w:t xml:space="preserve">5</w:t>
            </w:r>
            <w:r/>
          </w:p>
        </w:tc>
        <w:tc>
          <w:tcPr>
            <w:tcBorders>
              <w:left w:val="single" w:color="000000" w:sz="8" w:space="0"/>
              <w:top w:val="single" w:color="000000" w:sz="8" w:space="0"/>
              <w:right w:val="single" w:color="000000" w:sz="8" w:space="0"/>
              <w:bottom w:val="single" w:color="000000" w:sz="8" w:space="0"/>
            </w:tcBorders>
            <w:tcW w:w="1170" w:type="dxa"/>
            <w:vAlign w:val="top"/>
            <w:textDirection w:val="lrTb"/>
            <w:noWrap w:val="false"/>
          </w:tcPr>
          <w:p>
            <w:pPr>
              <w:pStyle w:val="185"/>
              <w:rPr>
                <w:rFonts w:ascii="Times New Roman" w:hAnsi="Times New Roman" w:hint="default"/>
                <w:b/>
              </w:rPr>
            </w:pPr>
            <w:r>
              <w:t xml:space="preserve">Packages</w:t>
            </w:r>
            <w:r/>
          </w:p>
        </w:tc>
        <w:tc>
          <w:tcPr>
            <w:tcBorders>
              <w:left w:val="single" w:color="000000" w:sz="8" w:space="0"/>
              <w:top w:val="single" w:color="000000" w:sz="8" w:space="0"/>
              <w:right w:val="single" w:color="000000" w:sz="8" w:space="0"/>
              <w:bottom w:val="single" w:color="000000" w:sz="8" w:space="0"/>
            </w:tcBorders>
            <w:tcW w:w="4559" w:type="dxa"/>
            <w:vAlign w:val="top"/>
            <w:textDirection w:val="lrTb"/>
            <w:noWrap w:val="false"/>
          </w:tcPr>
          <w:p>
            <w:pPr>
              <w:pStyle w:val="185"/>
              <w:rPr>
                <w:rFonts w:ascii="Times New Roman" w:hAnsi="Times New Roman"/>
                <w:b/>
              </w:rPr>
            </w:pPr>
            <w:r>
              <w:rPr>
                <w:rFonts w:ascii="Times New Roman" w:hAnsi="Times New Roman"/>
                <w:b/>
              </w:rPr>
            </w:r>
            <w:r/>
          </w:p>
        </w:tc>
        <w:tc>
          <w:tcPr>
            <w:tcBorders>
              <w:left w:val="single" w:color="000000" w:sz="8" w:space="0"/>
              <w:top w:val="single" w:color="000000" w:sz="8" w:space="0"/>
              <w:right w:val="single" w:color="000000" w:sz="8" w:space="0"/>
              <w:bottom w:val="single" w:color="000000" w:sz="8" w:space="0"/>
            </w:tcBorders>
            <w:tcW w:w="1748" w:type="dxa"/>
            <w:vAlign w:val="top"/>
            <w:textDirection w:val="lrTb"/>
            <w:noWrap w:val="false"/>
          </w:tcPr>
          <w:p>
            <w:pPr>
              <w:pStyle w:val="185"/>
              <w:rPr>
                <w:rFonts w:ascii="Times New Roman" w:hAnsi="Times New Roman" w:hint="default"/>
                <w:b/>
              </w:rPr>
            </w:pPr>
            <w:r>
              <w:t xml:space="preserve">$60</w:t>
            </w:r>
            <w:r/>
          </w:p>
        </w:tc>
        <w:tc>
          <w:tcPr>
            <w:tcBorders>
              <w:left w:val="single" w:color="000000" w:sz="8" w:space="0"/>
              <w:top w:val="single" w:color="000000" w:sz="8" w:space="0"/>
              <w:right w:val="single" w:color="000000" w:sz="8" w:space="0"/>
              <w:bottom w:val="single" w:color="000000" w:sz="8" w:space="0"/>
            </w:tcBorders>
            <w:tcW w:w="1748" w:type="dxa"/>
            <w:vAlign w:val="top"/>
            <w:textDirection w:val="lrTb"/>
            <w:noWrap w:val="false"/>
          </w:tcPr>
          <w:p>
            <w:pPr>
              <w:pStyle w:val="185"/>
              <w:rPr>
                <w:rFonts w:ascii="Times New Roman" w:hAnsi="Times New Roman" w:hint="default"/>
                <w:b/>
              </w:rPr>
            </w:pPr>
            <w:r>
              <w:t xml:space="preserve">$300</w:t>
            </w:r>
            <w:r/>
          </w:p>
        </w:tc>
      </w:tr>
      <w:tr>
        <w:trPr>
          <w:trHeight w:val="152"/>
        </w:trPr>
        <w:tc>
          <w:tcPr>
            <w:tcBorders>
              <w:left w:val="single" w:color="000000" w:sz="8" w:space="0"/>
              <w:top w:val="single" w:color="000000" w:sz="8" w:space="0"/>
              <w:right w:val="single" w:color="000000" w:sz="8" w:space="0"/>
              <w:bottom w:val="single" w:color="000000" w:sz="8" w:space="0"/>
            </w:tcBorders>
            <w:tcW w:w="738" w:type="dxa"/>
            <w:vAlign w:val="top"/>
            <w:textDirection w:val="lrTb"/>
            <w:noWrap w:val="false"/>
          </w:tcPr>
          <w:p>
            <w:pPr>
              <w:pStyle w:val="185"/>
              <w:rPr>
                <w:rFonts w:ascii="Times New Roman" w:hAnsi="Times New Roman" w:hint="default"/>
              </w:rPr>
            </w:pPr>
            <w:r>
              <w:t xml:space="preserve">6</w:t>
            </w:r>
            <w:r/>
          </w:p>
        </w:tc>
        <w:tc>
          <w:tcPr>
            <w:tcBorders>
              <w:left w:val="single" w:color="000000" w:sz="8" w:space="0"/>
              <w:top w:val="single" w:color="000000" w:sz="8" w:space="0"/>
              <w:right w:val="single" w:color="000000" w:sz="8" w:space="0"/>
              <w:bottom w:val="single" w:color="000000" w:sz="8" w:space="0"/>
            </w:tcBorders>
            <w:tcW w:w="1170" w:type="dxa"/>
            <w:vAlign w:val="top"/>
            <w:textDirection w:val="lrTb"/>
            <w:noWrap w:val="false"/>
          </w:tcPr>
          <w:p>
            <w:pPr>
              <w:pStyle w:val="185"/>
              <w:jc w:val="left"/>
              <w:rPr>
                <w:rFonts w:ascii="Times New Roman" w:hAnsi="Times New Roman" w:hint="default"/>
                <w:b/>
              </w:rPr>
            </w:pPr>
            <w:r>
              <w:t xml:space="preserve">Boxes</w:t>
            </w:r>
            <w:r/>
          </w:p>
        </w:tc>
        <w:tc>
          <w:tcPr>
            <w:tcBorders>
              <w:left w:val="single" w:color="000000" w:sz="8" w:space="0"/>
              <w:top w:val="single" w:color="000000" w:sz="8" w:space="0"/>
              <w:right w:val="single" w:color="000000" w:sz="8" w:space="0"/>
              <w:bottom w:val="single" w:color="000000" w:sz="8" w:space="0"/>
            </w:tcBorders>
            <w:tcW w:w="4559" w:type="dxa"/>
            <w:vAlign w:val="top"/>
            <w:textDirection w:val="lrTb"/>
            <w:noWrap w:val="false"/>
          </w:tcPr>
          <w:p>
            <w:pPr>
              <w:pStyle w:val="185"/>
              <w:rPr>
                <w:rFonts w:ascii="Times New Roman" w:hAnsi="Times New Roman"/>
                <w:b/>
              </w:rPr>
            </w:pPr>
            <w:r>
              <w:rPr>
                <w:rFonts w:ascii="Times New Roman" w:hAnsi="Times New Roman"/>
                <w:b/>
              </w:rPr>
            </w:r>
            <w:r/>
          </w:p>
        </w:tc>
        <w:tc>
          <w:tcPr>
            <w:tcBorders>
              <w:left w:val="single" w:color="000000" w:sz="8" w:space="0"/>
              <w:top w:val="single" w:color="000000" w:sz="8" w:space="0"/>
              <w:right w:val="single" w:color="000000" w:sz="8" w:space="0"/>
              <w:bottom w:val="single" w:color="000000" w:sz="8" w:space="0"/>
            </w:tcBorders>
            <w:tcW w:w="1748" w:type="dxa"/>
            <w:vAlign w:val="top"/>
            <w:textDirection w:val="lrTb"/>
            <w:noWrap w:val="false"/>
          </w:tcPr>
          <w:p>
            <w:pPr>
              <w:pStyle w:val="185"/>
              <w:rPr>
                <w:rFonts w:ascii="Times New Roman" w:hAnsi="Times New Roman" w:hint="default"/>
                <w:b/>
              </w:rPr>
            </w:pPr>
            <w:r>
              <w:t xml:space="preserve">$60</w:t>
            </w:r>
            <w:r/>
          </w:p>
        </w:tc>
        <w:tc>
          <w:tcPr>
            <w:tcBorders>
              <w:left w:val="single" w:color="000000" w:sz="8" w:space="0"/>
              <w:top w:val="single" w:color="000000" w:sz="8" w:space="0"/>
              <w:right w:val="single" w:color="000000" w:sz="8" w:space="0"/>
              <w:bottom w:val="single" w:color="000000" w:sz="8" w:space="0"/>
            </w:tcBorders>
            <w:tcW w:w="1748" w:type="dxa"/>
            <w:vAlign w:val="top"/>
            <w:textDirection w:val="lrTb"/>
            <w:noWrap w:val="false"/>
          </w:tcPr>
          <w:p>
            <w:pPr>
              <w:pStyle w:val="185"/>
              <w:rPr>
                <w:rFonts w:ascii="Times New Roman" w:hAnsi="Times New Roman" w:hint="default"/>
                <w:b/>
              </w:rPr>
            </w:pPr>
            <w:r>
              <w:t xml:space="preserve">$360</w:t>
            </w:r>
            <w:r/>
          </w:p>
        </w:tc>
      </w:tr>
    </w:tbl>
    <w:p>
      <w:pPr>
        <w:pStyle w:val="185"/>
        <w:rPr>
          <w:rFonts w:ascii="Times New Roman" w:hAnsi="Times New Roman"/>
        </w:rPr>
      </w:pPr>
      <w:r>
        <w:rPr>
          <w:rFonts w:ascii="Times New Roman" w:hAnsi="Times New Roman"/>
        </w:rPr>
      </w:r>
      <w:r/>
    </w:p>
    <w:p>
      <w:pPr>
        <w:pStyle w:val="185"/>
        <w:rPr>
          <w:rFonts w:ascii="Times New Roman" w:hAnsi="Times New Roman"/>
        </w:rPr>
      </w:pPr>
      <w:r>
        <w:rPr>
          <w:rFonts w:ascii="Times New Roman" w:hAnsi="Times New Roman"/>
        </w:rPr>
      </w:r>
      <w:r/>
    </w:p>
    <w:p>
      <w:pPr>
        <w:pStyle w:val="185"/>
        <w:rPr>
          <w:rFonts w:ascii="Times New Roman" w:hAnsi="Times New Roman"/>
        </w:rPr>
      </w:pPr>
      <w:r>
        <w:rPr>
          <w:rFonts w:ascii="Times New Roman" w:hAnsi="Times New Roman"/>
        </w:rPr>
      </w:r>
      <w:r/>
    </w:p>
    <w:p>
      <w:pPr>
        <w:pStyle w:val="185"/>
        <w:rPr>
          <w:rFonts w:ascii="Times New Roman" w:hAnsi="Times New Roman"/>
        </w:rPr>
      </w:pPr>
      <w:r>
        <w:rPr>
          <w:rFonts w:ascii="Times New Roman" w:hAnsi="Times New Roman"/>
        </w:rPr>
      </w:r>
      <w:r/>
    </w:p>
    <w:p>
      <w:pPr>
        <w:pStyle w:val="185"/>
        <w:rPr>
          <w:rFonts w:ascii="Times New Roman" w:hAnsi="Times New Roman" w:hint="default"/>
        </w:rPr>
      </w:pPr>
      <w:r>
        <w:rPr>
          <w:rFonts w:ascii="Times New Roman" w:hAnsi="Times New Roman" w:hint="cs"/>
        </w:rPr>
        <w:t xml:space="preserve">1. </w:t>
      </w:r>
      <w:r>
        <w:rPr>
          <w:rFonts w:ascii="Times New Roman" w:hAnsi="Times New Roman" w:hint="cs"/>
          <w:u w:val="single"/>
        </w:rPr>
        <w:t xml:space="preserve">Term. </w:t>
      </w:r>
      <w:r>
        <w:rPr>
          <w:rFonts w:ascii="Times New Roman" w:hAnsi="Times New Roman" w:hint="cs"/>
        </w:rPr>
        <w:t xml:space="preserve">This Contract shall begin on __________, 20__, and end upon the last delivery for the quantity indicated in this agreement, unless the parties agree otherwise. However, if</w:t>
      </w:r>
      <w:r>
        <w:rPr>
          <w:rFonts w:ascii="Times New Roman" w:hAnsi="Times New Roman" w:hint="cs"/>
        </w:rPr>
        <w:t xml:space="preserve">,</w:t>
      </w:r>
      <w:r>
        <w:rPr>
          <w:rFonts w:ascii="Times New Roman" w:hAnsi="Times New Roman" w:hint="cs"/>
        </w:rPr>
        <w:t xml:space="preserve"> as of such date, Buyer is in arrears on the account, Seller may then canc</w:t>
      </w:r>
      <w:r>
        <w:rPr>
          <w:rFonts w:ascii="Times New Roman" w:hAnsi="Times New Roman" w:hint="cs"/>
        </w:rPr>
        <w:t xml:space="preserve">el this Contract and sue for</w:t>
      </w:r>
      <w:r>
        <w:rPr>
          <w:rFonts w:ascii="Times New Roman" w:hAnsi="Times New Roman" w:hint="cs"/>
        </w:rPr>
        <w:t xml:space="preserve"> damages, including lost profits, offsetting the deposit there against, and further recover its cost of suit including attorney fees. </w:t>
      </w:r>
      <w:r/>
    </w:p>
    <w:p>
      <w:pPr>
        <w:pStyle w:val="185"/>
        <w:rPr>
          <w:rFonts w:ascii="Times New Roman" w:hAnsi="Times New Roman"/>
        </w:rPr>
      </w:pPr>
      <w:r>
        <w:rPr>
          <w:rFonts w:ascii="Times New Roman" w:hAnsi="Times New Roman"/>
        </w:rPr>
      </w:r>
      <w:r/>
    </w:p>
    <w:p>
      <w:pPr>
        <w:pStyle w:val="185"/>
        <w:rPr>
          <w:rFonts w:ascii="Times New Roman" w:hAnsi="Times New Roman" w:hint="default"/>
        </w:rPr>
      </w:pPr>
      <w:r>
        <w:rPr>
          <w:rFonts w:ascii="Times New Roman" w:hAnsi="Times New Roman" w:hint="cs"/>
        </w:rPr>
        <w:t xml:space="preserve">2. </w:t>
      </w:r>
      <w:r>
        <w:rPr>
          <w:rFonts w:ascii="Times New Roman" w:hAnsi="Times New Roman" w:hint="cs"/>
          <w:u w:val="single"/>
        </w:rPr>
        <w:t xml:space="preserve">Delivery. </w:t>
      </w:r>
      <w:r>
        <w:rPr>
          <w:rFonts w:ascii="Times New Roman" w:hAnsi="Times New Roman" w:hint="cs"/>
        </w:rPr>
        <w:t xml:space="preserve">Buyer will give Seller _____ days’ advance notice regarding the quantity requested for delivery. Upon receipt of the request for delivery, Seller will arrange for delivery through a carrier chosen by Seller, the costs of which shall be F.O.B. Origin Freight Prepaid &amp; Added To Invoice. </w:t>
      </w:r>
      <w:r/>
    </w:p>
    <w:p>
      <w:pPr>
        <w:pStyle w:val="185"/>
        <w:rPr>
          <w:rFonts w:ascii="Times New Roman" w:hAnsi="Times New Roman"/>
        </w:rPr>
      </w:pPr>
      <w:r>
        <w:rPr>
          <w:rFonts w:ascii="Times New Roman" w:hAnsi="Times New Roman"/>
        </w:rPr>
      </w:r>
      <w:r/>
    </w:p>
    <w:p>
      <w:pPr>
        <w:pStyle w:val="185"/>
        <w:rPr>
          <w:rFonts w:ascii="Times New Roman" w:hAnsi="Times New Roman" w:hint="default"/>
        </w:rPr>
      </w:pPr>
      <w:r>
        <w:rPr>
          <w:rFonts w:ascii="Times New Roman" w:hAnsi="Times New Roman" w:hint="cs"/>
        </w:rPr>
        <w:t xml:space="preserve">3. </w:t>
      </w:r>
      <w:r>
        <w:rPr>
          <w:rFonts w:ascii="Times New Roman" w:hAnsi="Times New Roman" w:hint="cs"/>
          <w:u w:val="single"/>
        </w:rPr>
        <w:t xml:space="preserve">Risk Of Loss. </w:t>
      </w:r>
      <w:r>
        <w:rPr>
          <w:rFonts w:ascii="Times New Roman" w:hAnsi="Times New Roman" w:hint="cs"/>
        </w:rPr>
        <w:t xml:space="preserve">The risk of loss from any casualty to the Goods, regardless of the cause, will be the responsibility of the Buyer once the goods have been shipped by the Seller. </w:t>
      </w:r>
      <w:r/>
    </w:p>
    <w:p>
      <w:pPr>
        <w:pStyle w:val="185"/>
        <w:rPr>
          <w:rFonts w:ascii="Times New Roman" w:hAnsi="Times New Roman"/>
        </w:rPr>
      </w:pPr>
      <w:r>
        <w:rPr>
          <w:rFonts w:ascii="Times New Roman" w:hAnsi="Times New Roman"/>
        </w:rPr>
      </w:r>
      <w:r/>
    </w:p>
    <w:p>
      <w:pPr>
        <w:pStyle w:val="185"/>
        <w:rPr>
          <w:rFonts w:ascii="Times New Roman" w:hAnsi="Times New Roman" w:hint="default"/>
        </w:rPr>
      </w:pPr>
      <w:r>
        <w:rPr>
          <w:rFonts w:ascii="Times New Roman" w:hAnsi="Times New Roman" w:hint="cs"/>
        </w:rPr>
        <w:t xml:space="preserve">4. </w:t>
      </w:r>
      <w:r>
        <w:rPr>
          <w:rFonts w:ascii="Times New Roman" w:hAnsi="Times New Roman" w:hint="cs"/>
          <w:u w:val="single"/>
        </w:rPr>
        <w:t xml:space="preserve">Acceptance. </w:t>
      </w:r>
      <w:r>
        <w:rPr>
          <w:rFonts w:ascii="Times New Roman" w:hAnsi="Times New Roman" w:hint="cs"/>
        </w:rPr>
        <w:t xml:space="preserve">Buyer will have the right to inspect the goods upon receipt, and within two (2) business days after delivery, Buyer must give notice to Seller of any claim for damages on account of condition, quality, or grade of the goods, and Buyer must specify the basis of the claim in detail. Failure of Buyer to comply with these conditions will constitute irrevocable acceptance of the goods by Buyer. </w:t>
      </w:r>
      <w:r/>
    </w:p>
    <w:p>
      <w:pPr>
        <w:pStyle w:val="185"/>
        <w:rPr>
          <w:rFonts w:ascii="Times New Roman" w:hAnsi="Times New Roman"/>
        </w:rPr>
      </w:pPr>
      <w:r>
        <w:rPr>
          <w:rFonts w:ascii="Times New Roman" w:hAnsi="Times New Roman"/>
        </w:rPr>
      </w:r>
      <w:r/>
    </w:p>
    <w:p>
      <w:pPr>
        <w:pStyle w:val="185"/>
        <w:rPr>
          <w:rFonts w:ascii="Times New Roman" w:hAnsi="Times New Roman" w:hint="default"/>
        </w:rPr>
      </w:pPr>
      <w:r>
        <w:rPr>
          <w:rFonts w:ascii="Times New Roman" w:hAnsi="Times New Roman" w:hint="cs"/>
        </w:rPr>
        <w:t xml:space="preserve">5. </w:t>
      </w:r>
      <w:r>
        <w:rPr>
          <w:rFonts w:ascii="Times New Roman" w:hAnsi="Times New Roman" w:hint="cs"/>
          <w:u w:val="single"/>
        </w:rPr>
        <w:t xml:space="preserve">Charges. </w:t>
      </w:r>
      <w:r>
        <w:rPr>
          <w:rFonts w:ascii="Times New Roman" w:hAnsi="Times New Roman" w:hint="cs"/>
        </w:rPr>
        <w:t xml:space="preserve">Seller shall invoice Buyer upon and for each shipment. Buyer shall pay all charges on terms of Net 30 Days Receipt of Goods. Overdue invoices shall also bear interest at the rate of ___% per ______. If Seller undertakes collection or enforcement efforts, Buyer shall be liable for all costs thereof, including attorney fees. If Buyer is in arrears on any invoice, Seller may, on notice to Buyer, apply the deposit thereto and withhold further delivery until the deposit and all arrearages are brought current. </w:t>
      </w:r>
      <w:r/>
    </w:p>
    <w:p>
      <w:pPr>
        <w:pStyle w:val="185"/>
        <w:rPr>
          <w:rFonts w:ascii="Times New Roman" w:hAnsi="Times New Roman"/>
        </w:rPr>
      </w:pPr>
      <w:r>
        <w:rPr>
          <w:rFonts w:ascii="Times New Roman" w:hAnsi="Times New Roman"/>
        </w:rPr>
      </w:r>
      <w:r/>
    </w:p>
    <w:p>
      <w:pPr>
        <w:pStyle w:val="185"/>
        <w:rPr>
          <w:rFonts w:ascii="Times New Roman" w:hAnsi="Times New Roman" w:hint="default"/>
        </w:rPr>
      </w:pPr>
      <w:r>
        <w:rPr>
          <w:rFonts w:ascii="Times New Roman" w:hAnsi="Times New Roman" w:hint="cs"/>
        </w:rPr>
        <w:t xml:space="preserve">6. </w:t>
      </w:r>
      <w:r>
        <w:rPr>
          <w:rFonts w:ascii="Times New Roman" w:hAnsi="Times New Roman" w:hint="cs"/>
          <w:u w:val="single"/>
        </w:rPr>
        <w:t xml:space="preserve">Warranty. </w:t>
      </w:r>
      <w:r>
        <w:rPr>
          <w:rFonts w:ascii="Times New Roman" w:hAnsi="Times New Roman" w:hint="cs"/>
        </w:rPr>
        <w:t xml:space="preserve">Seller warrants that the goods sold hereunder are new and free from substantive defects in workmanship and materials. Seller's liability under the foregoing warranty is limited to replacement of goods or refund of the purchase price at Seller's sole option. No other warranty, express or implied, is made by Seller, and none shall be imputed or presumed. </w:t>
      </w:r>
      <w:r/>
    </w:p>
    <w:p>
      <w:pPr>
        <w:pStyle w:val="185"/>
        <w:rPr>
          <w:rFonts w:ascii="Times New Roman" w:hAnsi="Times New Roman"/>
        </w:rPr>
      </w:pPr>
      <w:r>
        <w:rPr>
          <w:rFonts w:ascii="Times New Roman" w:hAnsi="Times New Roman"/>
        </w:rPr>
      </w:r>
      <w:r/>
    </w:p>
    <w:p>
      <w:pPr>
        <w:pStyle w:val="185"/>
        <w:rPr>
          <w:rFonts w:ascii="Times New Roman" w:hAnsi="Times New Roman" w:hint="default"/>
        </w:rPr>
      </w:pPr>
      <w:r>
        <w:rPr>
          <w:rFonts w:ascii="Times New Roman" w:hAnsi="Times New Roman" w:hint="cs"/>
        </w:rPr>
        <w:t xml:space="preserve">7. </w:t>
      </w:r>
      <w:r>
        <w:rPr>
          <w:rFonts w:ascii="Times New Roman" w:hAnsi="Times New Roman" w:hint="cs"/>
          <w:u w:val="single"/>
        </w:rPr>
        <w:t xml:space="preserve">Taxes. </w:t>
      </w:r>
      <w:r>
        <w:rPr>
          <w:rFonts w:ascii="Times New Roman" w:hAnsi="Times New Roman" w:hint="cs"/>
        </w:rPr>
        <w:t xml:space="preserve">All sales taxes, tariffs, and other governmental charges shall be paid by Buyer </w:t>
      </w:r>
      <w:r>
        <w:rPr>
          <w:rFonts w:ascii="Times New Roman" w:hAnsi="Times New Roman" w:hint="cs"/>
        </w:rPr>
        <w:t xml:space="preserve">and are Buyer's Responsibility except as limited b</w:t>
      </w:r>
      <w:r>
        <w:rPr>
          <w:rFonts w:ascii="Times New Roman" w:hAnsi="Times New Roman" w:hint="cs"/>
        </w:rPr>
        <w:t xml:space="preserve">y</w:t>
      </w:r>
      <w:r>
        <w:rPr>
          <w:rFonts w:ascii="Times New Roman" w:hAnsi="Times New Roman" w:hint="cs"/>
        </w:rPr>
        <w:t xml:space="preserve"> the</w:t>
      </w:r>
      <w:r>
        <w:rPr>
          <w:rFonts w:ascii="Times New Roman" w:hAnsi="Times New Roman" w:hint="cs"/>
        </w:rPr>
        <w:t xml:space="preserve"> </w:t>
      </w:r>
      <w:r>
        <w:rPr>
          <w:rFonts w:ascii="Times New Roman" w:hAnsi="Times New Roman" w:hint="cs"/>
        </w:rPr>
        <w:t xml:space="preserve">l</w:t>
      </w:r>
      <w:r>
        <w:rPr>
          <w:rFonts w:ascii="Times New Roman" w:hAnsi="Times New Roman" w:hint="cs"/>
        </w:rPr>
        <w:t xml:space="preserve">aw. </w:t>
      </w:r>
      <w:r/>
    </w:p>
    <w:p>
      <w:pPr>
        <w:pStyle w:val="185"/>
        <w:rPr>
          <w:rFonts w:ascii="Times New Roman" w:hAnsi="Times New Roman"/>
        </w:rPr>
      </w:pPr>
      <w:r>
        <w:rPr>
          <w:rFonts w:ascii="Times New Roman" w:hAnsi="Times New Roman"/>
        </w:rPr>
      </w:r>
      <w:r/>
    </w:p>
    <w:p>
      <w:pPr>
        <w:pStyle w:val="185"/>
        <w:rPr>
          <w:rFonts w:ascii="Times New Roman" w:hAnsi="Times New Roman" w:hint="default"/>
        </w:rPr>
      </w:pPr>
      <w:r>
        <w:rPr>
          <w:rFonts w:ascii="Times New Roman" w:hAnsi="Times New Roman" w:hint="cs"/>
        </w:rPr>
        <w:t xml:space="preserve">8. </w:t>
      </w:r>
      <w:r>
        <w:rPr>
          <w:rFonts w:ascii="Times New Roman" w:hAnsi="Times New Roman" w:hint="cs"/>
          <w:u w:val="single"/>
        </w:rPr>
        <w:t xml:space="preserve">Governing Law. </w:t>
      </w:r>
      <w:r>
        <w:rPr>
          <w:rFonts w:ascii="Times New Roman" w:hAnsi="Times New Roman" w:hint="cs"/>
        </w:rPr>
        <w:t xml:space="preserve">This Contract shall be governed by the laws of the State of</w:t>
      </w:r>
      <w:r>
        <w:rPr>
          <w:rFonts w:ascii="Times New Roman" w:hAnsi="Times New Roman" w:hint="cs"/>
        </w:rPr>
        <w:t xml:space="preserve"> _________</w:t>
      </w:r>
      <w:r>
        <w:rPr>
          <w:rFonts w:ascii="Times New Roman" w:hAnsi="Times New Roman" w:hint="cs"/>
        </w:rPr>
        <w:t xml:space="preserve">. Any disputes </w:t>
      </w:r>
      <w:r>
        <w:rPr>
          <w:rFonts w:ascii="Times New Roman" w:hAnsi="Times New Roman" w:hint="cs"/>
        </w:rPr>
        <w:t xml:space="preserve">brought against the Seller </w:t>
      </w:r>
      <w:r>
        <w:rPr>
          <w:rFonts w:ascii="Times New Roman" w:hAnsi="Times New Roman" w:hint="cs"/>
        </w:rPr>
        <w:t xml:space="preserve">hereunder will be heard in the appropriate federal </w:t>
      </w:r>
      <w:r>
        <w:rPr>
          <w:rFonts w:ascii="Times New Roman" w:hAnsi="Times New Roman" w:hint="cs"/>
        </w:rPr>
        <w:t xml:space="preserve">and state courts located in _________</w:t>
      </w:r>
      <w:r>
        <w:rPr>
          <w:rFonts w:ascii="Times New Roman" w:hAnsi="Times New Roman" w:hint="cs"/>
        </w:rPr>
        <w:t xml:space="preserve">. </w:t>
      </w:r>
      <w:r/>
    </w:p>
    <w:p>
      <w:pPr>
        <w:pStyle w:val="185"/>
        <w:rPr>
          <w:rFonts w:ascii="Times New Roman" w:hAnsi="Times New Roman"/>
        </w:rPr>
      </w:pPr>
      <w:r>
        <w:rPr>
          <w:rFonts w:ascii="Times New Roman" w:hAnsi="Times New Roman"/>
        </w:rPr>
      </w:r>
      <w:r/>
    </w:p>
    <w:p>
      <w:pPr>
        <w:pStyle w:val="185"/>
        <w:rPr>
          <w:rFonts w:ascii="Times New Roman" w:hAnsi="Times New Roman" w:hint="default"/>
        </w:rPr>
      </w:pPr>
      <w:r>
        <w:rPr>
          <w:rFonts w:ascii="Times New Roman" w:hAnsi="Times New Roman" w:hint="cs"/>
        </w:rPr>
        <w:t xml:space="preserve">9. </w:t>
      </w:r>
      <w:r>
        <w:rPr>
          <w:rFonts w:ascii="Times New Roman" w:hAnsi="Times New Roman" w:hint="cs"/>
          <w:u w:val="single"/>
        </w:rPr>
        <w:t xml:space="preserve">Force Majeure. </w:t>
      </w:r>
      <w:r>
        <w:rPr>
          <w:rFonts w:ascii="Times New Roman" w:hAnsi="Times New Roman" w:hint="cs"/>
        </w:rPr>
        <w:t xml:space="preserve">Seller may, without liability, delay performance or cancel this Contract on account of force majeure events or other circumstances beyond its control, including, but not limited to, strikes, acts of God, political unrest,</w:t>
      </w:r>
      <w:r>
        <w:rPr>
          <w:rFonts w:ascii="Times New Roman" w:hAnsi="Times New Roman" w:hint="cs"/>
        </w:rPr>
        <w:t xml:space="preserve"> terrorism,</w:t>
      </w:r>
      <w:r>
        <w:rPr>
          <w:rFonts w:ascii="Times New Roman" w:hAnsi="Times New Roman" w:hint="cs"/>
        </w:rPr>
        <w:t xml:space="preserve"> embargo, failure of source of supply, or casualty. </w:t>
      </w:r>
      <w:r/>
    </w:p>
    <w:p>
      <w:pPr>
        <w:pStyle w:val="185"/>
        <w:rPr>
          <w:rFonts w:ascii="Times New Roman" w:hAnsi="Times New Roman"/>
        </w:rPr>
      </w:pPr>
      <w:r>
        <w:rPr>
          <w:rFonts w:ascii="Times New Roman" w:hAnsi="Times New Roman"/>
        </w:rPr>
      </w:r>
      <w:r/>
    </w:p>
    <w:p>
      <w:pPr>
        <w:pStyle w:val="185"/>
        <w:rPr>
          <w:rFonts w:ascii="Times New Roman" w:hAnsi="Times New Roman" w:hint="default"/>
        </w:rPr>
      </w:pPr>
      <w:r>
        <w:rPr>
          <w:rFonts w:ascii="Times New Roman" w:hAnsi="Times New Roman" w:hint="cs"/>
        </w:rPr>
        <w:t xml:space="preserve">10. </w:t>
      </w:r>
      <w:r>
        <w:rPr>
          <w:rFonts w:ascii="Times New Roman" w:hAnsi="Times New Roman" w:hint="cs"/>
          <w:u w:val="single"/>
        </w:rPr>
        <w:t xml:space="preserve">Miscellaneous. </w:t>
      </w:r>
      <w:r>
        <w:rPr>
          <w:rFonts w:ascii="Times New Roman" w:hAnsi="Times New Roman" w:hint="cs"/>
        </w:rPr>
        <w:t xml:space="preserve">This Contract contains the entire agreement between the parties and supersedes and replaces all such prior agreements with respect to matters expressly set forth herein. No modification shall be made to this Contract except in writing and signed by both parties. This Contract shall be binding upon the parties and their respective heirs, executors, administrators, successors, assigns and personal representatives. </w:t>
      </w:r>
      <w:r/>
    </w:p>
    <w:p>
      <w:pPr>
        <w:pStyle w:val="185"/>
        <w:rPr>
          <w:rFonts w:ascii="Times New Roman" w:hAnsi="Times New Roman"/>
        </w:rPr>
      </w:pPr>
      <w:r>
        <w:rPr>
          <w:rFonts w:ascii="Times New Roman" w:hAnsi="Times New Roman"/>
        </w:rPr>
      </w:r>
      <w:r/>
    </w:p>
    <w:p>
      <w:pPr>
        <w:pStyle w:val="185"/>
        <w:rPr>
          <w:rFonts w:ascii="Times New Roman" w:hAnsi="Times New Roman"/>
        </w:rPr>
      </w:pPr>
      <w:r>
        <w:rPr>
          <w:rFonts w:ascii="Times New Roman" w:hAnsi="Times New Roman"/>
        </w:rPr>
      </w:r>
      <w:r/>
    </w:p>
    <w:p>
      <w:pPr>
        <w:pStyle w:val="185"/>
        <w:rPr>
          <w:rFonts w:ascii="Times New Roman" w:hAnsi="Times New Roman"/>
        </w:rPr>
      </w:pPr>
      <w:r>
        <w:rPr>
          <w:rFonts w:ascii="Times New Roman" w:hAnsi="Times New Roman"/>
        </w:rPr>
      </w:r>
      <w:r/>
    </w:p>
    <w:p>
      <w:pPr>
        <w:pStyle w:val="185"/>
        <w:rPr>
          <w:rFonts w:ascii="Times New Roman" w:hAnsi="Times New Roman" w:hint="default"/>
        </w:rPr>
      </w:pPr>
      <w:r>
        <w:rPr>
          <w:rFonts w:ascii="Times New Roman" w:hAnsi="Times New Roman" w:hint="cs"/>
        </w:rPr>
        <w:t xml:space="preserve">_______________________________</w:t>
      </w:r>
      <w:r>
        <w:rPr>
          <w:rFonts w:ascii="Times New Roman" w:hAnsi="Times New Roman" w:hint="cs"/>
        </w:rPr>
        <w:tab/>
      </w:r>
      <w:r>
        <w:rPr>
          <w:rFonts w:ascii="Times New Roman" w:hAnsi="Times New Roman" w:hint="cs"/>
        </w:rPr>
        <w:tab/>
      </w:r>
      <w:r>
        <w:rPr>
          <w:rFonts w:ascii="Times New Roman" w:hAnsi="Times New Roman" w:hint="cs"/>
        </w:rPr>
        <w:tab/>
      </w:r>
      <w:r>
        <w:rPr>
          <w:rFonts w:ascii="Times New Roman" w:hAnsi="Times New Roman" w:hint="cs"/>
        </w:rPr>
        <w:t xml:space="preserve">__________________________________ </w:t>
      </w:r>
      <w:r/>
    </w:p>
    <w:p>
      <w:pPr>
        <w:pStyle w:val="185"/>
        <w:rPr>
          <w:rFonts w:ascii="Times New Roman" w:hAnsi="Times New Roman" w:hint="default"/>
        </w:rPr>
      </w:pPr>
      <w:r>
        <w:rPr>
          <w:rFonts w:ascii="Times New Roman" w:hAnsi="Times New Roman" w:hint="cs"/>
        </w:rPr>
        <w:t xml:space="preserve">Seller, Date</w:t>
      </w:r>
      <w:r>
        <w:rPr>
          <w:rFonts w:ascii="Times New Roman" w:hAnsi="Times New Roman" w:hint="cs"/>
        </w:rPr>
        <w:tab/>
      </w:r>
      <w:r>
        <w:rPr>
          <w:rFonts w:ascii="Times New Roman" w:hAnsi="Times New Roman" w:hint="cs"/>
        </w:rPr>
        <w:tab/>
      </w:r>
      <w:r>
        <w:rPr>
          <w:rFonts w:ascii="Times New Roman" w:hAnsi="Times New Roman" w:hint="cs"/>
        </w:rPr>
        <w:tab/>
      </w:r>
      <w:r>
        <w:rPr>
          <w:rFonts w:ascii="Times New Roman" w:hAnsi="Times New Roman" w:hint="cs"/>
        </w:rPr>
        <w:tab/>
      </w:r>
      <w:r>
        <w:rPr>
          <w:rFonts w:ascii="Times New Roman" w:hAnsi="Times New Roman" w:hint="cs"/>
        </w:rPr>
        <w:tab/>
      </w:r>
      <w:r>
        <w:rPr>
          <w:rFonts w:ascii="Times New Roman" w:hAnsi="Times New Roman" w:hint="cs"/>
        </w:rPr>
        <w:tab/>
      </w:r>
      <w:r>
        <w:rPr>
          <w:rFonts w:ascii="Times New Roman" w:hAnsi="Times New Roman" w:hint="cs"/>
        </w:rPr>
        <w:t xml:space="preserve">Buyer, Date</w:t>
      </w:r>
      <w:r/>
    </w:p>
    <w:sectPr>
      <w:footnotePr/>
      <w:type w:val="nextPage"/>
      <w:pgSz w:w="12240" w:h="15840"/>
      <w:pgMar w:top="1440" w:right="1440" w:bottom="1440" w:left="1440" w:gutter="0" w:header="709" w:footer="709"/>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e Kage" w:date="2014-10-23T16:42:06Z" w:initials="KK">
    <w:p w14:paraId="00000001" w14:textId="00000001">
      <w:pPr>
        <w:spacing w:line="240" w:after="0" w:lineRule="auto" w:before="0"/>
        <w:ind w:firstLine="0" w:left="0" w:right="0"/>
        <w:jc w:val="left"/>
      </w:pPr>
      <w:r>
        <w:rPr>
          <w:rFonts w:eastAsia="Arial" w:ascii="Arial" w:hAnsi="Arial" w:cs="Arial"/>
          <w:sz w:val="22"/>
        </w:rPr>
        <w:t xml:space="preserve">August, but not July</w:t>
      </w:r>
    </w:p>
  </w:comment>
  <w:comment w:id="1" w:author="Guest" w:date="2014-10-23T16:52:37Z" w:initials="G">
    <w:p w14:paraId="00000002" w14:textId="00000002">
      <w:pPr>
        <w:spacing w:line="240" w:after="0" w:lineRule="auto" w:before="0"/>
        <w:ind w:firstLine="0" w:left="0" w:right="0"/>
        <w:jc w:val="left"/>
      </w:pPr>
      <w:r>
        <w:rPr>
          <w:rFonts w:eastAsia="Arial" w:ascii="Arial" w:hAnsi="Arial" w:cs="Arial"/>
          <w:sz w:val="22"/>
        </w:rPr>
        <w:t xml:space="preserve">yes, sure)</w:t>
      </w:r>
    </w:p>
  </w:comment>
  <w:comment w:id="2" w:author="Dart Bridges" w:date="2014-05-21T12:11:42Z" w:initials="DB"/>
  <w:comment w:id="3" w:author="Kate Kage" w:date="2014-10-23T16:44:30Z" w:initials="KK">
    <w:p w14:paraId="00000003" w14:textId="00000003">
      <w:pPr>
        <w:spacing w:line="240" w:after="0" w:lineRule="auto" w:before="0"/>
        <w:ind w:firstLine="0" w:left="0" w:right="0"/>
        <w:jc w:val="left"/>
      </w:pPr>
      <w:r>
        <w:rPr>
          <w:rFonts w:eastAsia="Arial" w:ascii="Arial" w:hAnsi="Arial" w:cs="Arial"/>
          <w:sz w:val="22"/>
        </w:rPr>
        <w:t xml:space="preserve">Please, specify your state</w:t>
      </w:r>
    </w:p>
  </w:comment>
  <w:comment w:id="4" w:author="Guest" w:date="2014-10-23T16:52:20Z" w:initials="G">
    <w:p w14:paraId="00000004" w14:textId="00000004">
      <w:pPr>
        <w:spacing w:line="240" w:after="0" w:lineRule="auto" w:before="0"/>
        <w:ind w:firstLine="0" w:left="0" w:right="0"/>
        <w:jc w:val="left"/>
      </w:pPr>
      <w:r>
        <w:rPr>
          <w:rFonts w:eastAsia="Arial" w:ascii="Arial" w:hAnsi="Arial" w:cs="Arial"/>
          <w:sz w:val="22"/>
        </w:rPr>
        <w:t xml:space="preserve">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paraIdParent="00000001" w15:done="0"/>
  <w15:commentEx w15:paraId="00000003" w15:done="1"/>
  <w15:commentEx w15:paraId="00000004" w15:paraIdParent="000000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t Bridges">
    <w15:presenceInfo w15:providerId="Teamlab" w15:userId="653a6387-4064-4b50-aec1-f2459d1c1df7"/>
  </w15:person>
  <w15:person w15:author="Guest">
    <w15:presenceInfo w15:providerId="Teamlab" w15:userId="adb1a760-e02b-46b2-bfed-3cadd2d311de"/>
  </w15:person>
  <w15:person w15:author="Kate Kage">
    <w15:presenceInfo w15:providerId="Teamlab" w15:userId="5981f33e-3939-4143-a9e1-9b6b74c6a009"/>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Times New Roman" w:eastAsia="Calibri"/>
        <w:color w:val="000000"/>
        <w:spacing w:val="0"/>
        <w:position w:val="0"/>
        <w:sz w:val="20"/>
        <w:szCs w:val="22"/>
        <w:lang w:val="en-US" w:bidi="en-US" w:eastAsia="en-US"/>
      </w:rPr>
    </w:rPrDefault>
    <w:pPrDefault>
      <w:pPr>
        <w:ind w:left="0" w:right="0" w:hanging="0"/>
        <w:jc w:val="left"/>
        <w:spacing w:lineRule="auto" w:line="240" w:after="0" w:afterAutospacing="0" w:before="0" w:beforeAutospacing="0"/>
        <w:shd w:val="clear" w:color="auto" w:fill="auto"/>
        <w:pBdr>
          <w:left w:val="none" w:color="000000" w:sz="0" w:space="0"/>
          <w:top w:val="none" w:color="000000" w:sz="0" w:space="0"/>
          <w:right w:val="none" w:color="000000" w:sz="0" w:space="0"/>
          <w:bottom w:val="none" w:color="000000" w:sz="0" w:space="0"/>
          <w:between w:val="none" w:color="000000" w:sz="0"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
    <w:name w:val="footnote text"/>
    <w:basedOn w:val="185"/>
    <w:uiPriority w:val="99"/>
    <w:semiHidden/>
    <w:unhideWhenUsed/>
    <w:rPr>
      <w:sz w:val="20"/>
    </w:rPr>
    <w:pPr>
      <w:spacing w:lineRule="auto" w:line="240" w:after="0"/>
    </w:pPr>
  </w:style>
  <w:style w:type="character" w:styleId="128">
    <w:name w:val="Footnote Text Char"/>
    <w:basedOn w:val="130"/>
    <w:uiPriority w:val="99"/>
    <w:semiHidden/>
    <w:rPr>
      <w:sz w:val="20"/>
    </w:rPr>
  </w:style>
  <w:style w:type="character" w:styleId="129">
    <w:name w:val="footnote reference"/>
    <w:basedOn w:val="130"/>
    <w:uiPriority w:val="99"/>
    <w:semiHidden/>
    <w:unhideWhenUsed/>
    <w:rPr>
      <w:vertAlign w:val="superscript"/>
    </w:rPr>
  </w:style>
  <w:style w:type="character" w:styleId="130">
    <w:name w:val="Default Paragraph Font"/>
    <w:uiPriority w:val="1"/>
    <w:semiHidden/>
    <w:unhideWhenUsed/>
  </w:style>
  <w:style w:type="numbering" w:styleId="131">
    <w:name w:val="No List"/>
    <w:uiPriority w:val="99"/>
    <w:semiHidden/>
    <w:unhideWhenUsed/>
  </w:style>
  <w:style w:type="paragraph" w:styleId="132">
    <w:name w:val="Heading 1"/>
    <w:basedOn w:val="185"/>
    <w:next w:val="185"/>
    <w:qFormat/>
    <w:uiPriority w:val="9"/>
    <w:rPr>
      <w:b/>
      <w:color w:val="000000"/>
      <w:sz w:val="48"/>
    </w:rPr>
    <w:pPr>
      <w:keepLines/>
      <w:keepNext/>
      <w:spacing w:after="0" w:before="480"/>
    </w:pPr>
  </w:style>
  <w:style w:type="paragraph" w:styleId="133">
    <w:name w:val="Heading 2"/>
    <w:basedOn w:val="185"/>
    <w:next w:val="185"/>
    <w:qFormat/>
    <w:uiPriority w:val="9"/>
    <w:unhideWhenUsed/>
    <w:rPr>
      <w:b/>
      <w:color w:val="000000"/>
      <w:sz w:val="40"/>
    </w:rPr>
    <w:pPr>
      <w:keepLines/>
      <w:keepNext/>
      <w:spacing w:after="0" w:before="200"/>
    </w:pPr>
  </w:style>
  <w:style w:type="paragraph" w:styleId="134">
    <w:name w:val="Heading 3"/>
    <w:basedOn w:val="185"/>
    <w:next w:val="185"/>
    <w:qFormat/>
    <w:uiPriority w:val="9"/>
    <w:unhideWhenUsed/>
    <w:rPr>
      <w:b/>
      <w:i/>
      <w:color w:val="000000"/>
      <w:sz w:val="36"/>
    </w:rPr>
    <w:pPr>
      <w:keepLines/>
      <w:keepNext/>
      <w:spacing w:after="0" w:before="200"/>
    </w:pPr>
  </w:style>
  <w:style w:type="paragraph" w:styleId="135">
    <w:name w:val="Heading 4"/>
    <w:basedOn w:val="185"/>
    <w:next w:val="185"/>
    <w:qFormat/>
    <w:uiPriority w:val="9"/>
    <w:unhideWhenUsed/>
    <w:rPr>
      <w:color w:val="232323"/>
      <w:sz w:val="32"/>
    </w:rPr>
    <w:pPr>
      <w:keepLines/>
      <w:keepNext/>
      <w:spacing w:after="0" w:before="200"/>
    </w:pPr>
  </w:style>
  <w:style w:type="paragraph" w:styleId="136">
    <w:name w:val="Heading 5"/>
    <w:basedOn w:val="185"/>
    <w:next w:val="185"/>
    <w:qFormat/>
    <w:uiPriority w:val="9"/>
    <w:unhideWhenUsed/>
    <w:rPr>
      <w:b/>
      <w:color w:val="444444"/>
      <w:sz w:val="28"/>
    </w:rPr>
    <w:pPr>
      <w:keepLines/>
      <w:keepNext/>
      <w:spacing w:after="0" w:before="200"/>
    </w:pPr>
  </w:style>
  <w:style w:type="paragraph" w:styleId="137">
    <w:name w:val="Heading 6"/>
    <w:basedOn w:val="185"/>
    <w:next w:val="185"/>
    <w:qFormat/>
    <w:uiPriority w:val="9"/>
    <w:unhideWhenUsed/>
    <w:rPr>
      <w:i/>
      <w:color w:val="232323"/>
      <w:sz w:val="28"/>
    </w:rPr>
    <w:pPr>
      <w:keepLines/>
      <w:keepNext/>
      <w:spacing w:after="0" w:before="200"/>
    </w:pPr>
  </w:style>
  <w:style w:type="paragraph" w:styleId="138">
    <w:name w:val="Heading 7"/>
    <w:basedOn w:val="185"/>
    <w:next w:val="185"/>
    <w:qFormat/>
    <w:uiPriority w:val="9"/>
    <w:unhideWhenUsed/>
    <w:rPr>
      <w:b/>
      <w:color w:val="606060"/>
      <w:sz w:val="24"/>
    </w:rPr>
    <w:pPr>
      <w:keepLines/>
      <w:keepNext/>
      <w:spacing w:after="0" w:before="200"/>
    </w:pPr>
  </w:style>
  <w:style w:type="paragraph" w:styleId="139">
    <w:name w:val="Heading 8"/>
    <w:basedOn w:val="185"/>
    <w:next w:val="185"/>
    <w:qFormat/>
    <w:uiPriority w:val="9"/>
    <w:unhideWhenUsed/>
    <w:rPr>
      <w:color w:val="444444"/>
      <w:sz w:val="24"/>
    </w:rPr>
    <w:pPr>
      <w:keepLines/>
      <w:keepNext/>
      <w:spacing w:after="0" w:before="200"/>
    </w:pPr>
  </w:style>
  <w:style w:type="paragraph" w:styleId="140">
    <w:name w:val="Heading 9"/>
    <w:basedOn w:val="185"/>
    <w:next w:val="185"/>
    <w:qFormat/>
    <w:uiPriority w:val="9"/>
    <w:unhideWhenUsed/>
    <w:rPr>
      <w:i/>
      <w:color w:val="444444"/>
      <w:sz w:val="23"/>
    </w:rPr>
    <w:pPr>
      <w:keepLines/>
      <w:keepNext/>
      <w:spacing w:after="0" w:before="200"/>
    </w:pPr>
  </w:style>
  <w:style w:type="paragraph" w:styleId="141">
    <w:name w:val="List Paragraph"/>
    <w:basedOn w:val="185"/>
    <w:qFormat/>
    <w:uiPriority w:val="34"/>
    <w:pPr>
      <w:contextualSpacing w:val="true"/>
      <w:ind w:left="720"/>
    </w:pPr>
  </w:style>
  <w:style w:type="table" w:styleId="14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paragraph" w:styleId="143">
    <w:name w:val="No Spacing"/>
    <w:qFormat/>
    <w:uiPriority w:val="1"/>
    <w:rPr>
      <w:color w:val="000000"/>
    </w:rPr>
    <w:pPr>
      <w:spacing w:lineRule="auto" w:line="240" w:after="0"/>
    </w:pPr>
  </w:style>
  <w:style w:type="paragraph" w:styleId="144">
    <w:name w:val="Title"/>
    <w:basedOn w:val="185"/>
    <w:next w:val="185"/>
    <w:qFormat/>
    <w:uiPriority w:val="10"/>
    <w:rPr>
      <w:b/>
      <w:color w:val="000000"/>
      <w:sz w:val="72"/>
    </w:rPr>
    <w:pPr>
      <w:spacing w:lineRule="auto" w:line="240" w:after="80" w:before="300"/>
      <w:pBdr>
        <w:bottom w:val="single" w:color="000000" w:sz="24" w:space="0"/>
      </w:pBdr>
    </w:pPr>
  </w:style>
  <w:style w:type="paragraph" w:styleId="145">
    <w:name w:val="Subtitle"/>
    <w:basedOn w:val="185"/>
    <w:next w:val="185"/>
    <w:qFormat/>
    <w:uiPriority w:val="11"/>
    <w:rPr>
      <w:i/>
      <w:color w:val="444444"/>
      <w:sz w:val="52"/>
    </w:rPr>
    <w:pPr>
      <w:spacing w:lineRule="auto" w:line="240"/>
    </w:pPr>
  </w:style>
  <w:style w:type="paragraph" w:styleId="146">
    <w:name w:val="Quote"/>
    <w:basedOn w:val="185"/>
    <w:next w:val="185"/>
    <w:qFormat/>
    <w:uiPriority w:val="29"/>
    <w:rPr>
      <w:i/>
      <w:color w:val="373737"/>
      <w:sz w:val="18"/>
    </w:rPr>
    <w:pPr>
      <w:ind w:left="3402"/>
      <w:pBdr>
        <w:left w:val="single" w:color="A6A6A6" w:sz="12" w:space="11"/>
        <w:bottom w:val="single" w:color="A6A6A6" w:sz="12" w:space="3"/>
      </w:pBdr>
    </w:pPr>
  </w:style>
  <w:style w:type="paragraph" w:styleId="147">
    <w:name w:val="Intense Quote"/>
    <w:basedOn w:val="185"/>
    <w:next w:val="185"/>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148">
    <w:name w:val="Header"/>
    <w:basedOn w:val="185"/>
    <w:uiPriority w:val="99"/>
    <w:unhideWhenUsed/>
    <w:rPr>
      <w:color w:val="000000"/>
      <w:sz w:val="22"/>
    </w:rPr>
    <w:pPr>
      <w:spacing w:lineRule="auto" w:line="240" w:after="0"/>
      <w:tabs>
        <w:tab w:val="center" w:pos="4677"/>
        <w:tab w:val="right" w:pos="9354"/>
      </w:tabs>
    </w:pPr>
  </w:style>
  <w:style w:type="paragraph" w:styleId="149">
    <w:name w:val="Footer"/>
    <w:basedOn w:val="185"/>
    <w:uiPriority w:val="99"/>
    <w:unhideWhenUsed/>
    <w:rPr>
      <w:color w:val="000000"/>
      <w:sz w:val="22"/>
    </w:rPr>
    <w:pPr>
      <w:spacing w:lineRule="auto" w:line="240" w:after="0"/>
      <w:tabs>
        <w:tab w:val="center" w:pos="4677"/>
        <w:tab w:val="right" w:pos="9354"/>
      </w:tabs>
    </w:pPr>
  </w:style>
  <w:style w:type="table" w:styleId="150">
    <w:name w:val="Lined"/>
    <w:basedOn w:val="142"/>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151">
    <w:name w:val="Lined - Accent 1"/>
    <w:basedOn w:val="142"/>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95B3D7"/>
      </w:tcPr>
    </w:tblStylePr>
    <w:tblStylePr w:type="firstRow">
      <w:tcPr>
        <w:shd w:val="clear" w:color="auto" w:fill="95B3D7"/>
      </w:tcPr>
    </w:tblStylePr>
    <w:tblStylePr w:type="lastCol">
      <w:tcPr>
        <w:shd w:val="clear" w:color="auto" w:fill="95B3D7"/>
      </w:tcPr>
    </w:tblStylePr>
    <w:tblStylePr w:type="lastRow">
      <w:tcPr>
        <w:shd w:val="clear" w:color="auto" w:fill="95B3D7"/>
      </w:tcPr>
    </w:tblStylePr>
  </w:style>
  <w:style w:type="table" w:styleId="152">
    <w:name w:val="Lined - Accent 2"/>
    <w:basedOn w:val="142"/>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153">
    <w:name w:val="Lined - Accent 3"/>
    <w:basedOn w:val="142"/>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154">
    <w:name w:val="Lined - Accent 4"/>
    <w:basedOn w:val="142"/>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155">
    <w:name w:val="Lined - Accent 5"/>
    <w:basedOn w:val="142"/>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156">
    <w:name w:val="Lined - Accent 6"/>
    <w:basedOn w:val="142"/>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DE9E9"/>
      </w:tcPr>
    </w:tblStylePr>
    <w:tblStylePr w:type="band2Vert">
      <w:tcPr>
        <w:shd w:val="clear" w:color="auto" w:fill="FDE9E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table" w:styleId="157">
    <w:name w:val="Bordered"/>
    <w:basedOn w:val="142"/>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1" w:type="auto"/>
        <w:top w:w="0" w:type="auto"/>
        <w:right w:w="1" w:type="auto"/>
        <w:bottom w:w="0" w:type="auto"/>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158">
    <w:name w:val="Bordered - Accent 1"/>
    <w:basedOn w:val="14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 w:type="auto"/>
        <w:top w:w="0" w:type="auto"/>
        <w:right w:w="1" w:type="auto"/>
        <w:bottom w:w="0" w:type="auto"/>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159">
    <w:name w:val="Bordered - Accent 2"/>
    <w:basedOn w:val="14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 w:type="auto"/>
        <w:top w:w="0" w:type="auto"/>
        <w:right w:w="1" w:type="auto"/>
        <w:bottom w:w="0" w:type="auto"/>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160">
    <w:name w:val="Bordered - Accent 3"/>
    <w:basedOn w:val="14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 w:type="auto"/>
        <w:top w:w="0" w:type="auto"/>
        <w:right w:w="1" w:type="auto"/>
        <w:bottom w:w="0" w:type="auto"/>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161">
    <w:name w:val="Bordered - Accent 4"/>
    <w:basedOn w:val="14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 w:type="auto"/>
        <w:top w:w="0" w:type="auto"/>
        <w:right w:w="1" w:type="auto"/>
        <w:bottom w:w="0" w:type="auto"/>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162">
    <w:name w:val="Bordered - Accent 5"/>
    <w:basedOn w:val="14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 w:type="auto"/>
        <w:top w:w="0" w:type="auto"/>
        <w:right w:w="1" w:type="auto"/>
        <w:bottom w:w="0" w:type="auto"/>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163">
    <w:name w:val="Bordered - Accent 6"/>
    <w:basedOn w:val="14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 w:type="auto"/>
        <w:top w:w="0" w:type="auto"/>
        <w:right w:w="1" w:type="auto"/>
        <w:bottom w:w="0" w:type="auto"/>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164">
    <w:name w:val="Bordered &amp; Lined"/>
    <w:basedOn w:val="142"/>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165">
    <w:name w:val="Bordered &amp; Lined - Accent 1"/>
    <w:basedOn w:val="142"/>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8DB3E2"/>
      </w:tcPr>
    </w:tblStylePr>
    <w:tblStylePr w:type="firstRow">
      <w:tcPr>
        <w:shd w:val="clear" w:color="auto" w:fill="8DB3E2"/>
      </w:tcPr>
    </w:tblStylePr>
    <w:tblStylePr w:type="lastCol">
      <w:tcPr>
        <w:shd w:val="clear" w:color="auto" w:fill="8DB3E2"/>
      </w:tcPr>
    </w:tblStylePr>
    <w:tblStylePr w:type="lastRow">
      <w:tcPr>
        <w:shd w:val="clear" w:color="auto" w:fill="8DB3E2"/>
      </w:tcPr>
    </w:tblStylePr>
  </w:style>
  <w:style w:type="table" w:styleId="166">
    <w:name w:val="Bordered &amp; Lined - Accent 2"/>
    <w:basedOn w:val="142"/>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167">
    <w:name w:val="Bordered &amp; Lined - Accent 3"/>
    <w:basedOn w:val="142"/>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168">
    <w:name w:val="Bordered &amp; Lined - Accent 4"/>
    <w:basedOn w:val="142"/>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169">
    <w:name w:val="Bordered &amp; Lined - Accent 5"/>
    <w:basedOn w:val="142"/>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170">
    <w:name w:val="Bordered &amp; Lined - Accent 6"/>
    <w:basedOn w:val="142"/>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 w:type="auto"/>
        <w:top w:w="0" w:type="auto"/>
        <w:right w:w="1" w:type="auto"/>
        <w:bottom w:w="0" w:type="auto"/>
      </w:tblCellMar>
    </w:tblPr>
    <w:tblStylePr w:type="band2Horz">
      <w:tcPr>
        <w:shd w:val="clear" w:color="auto" w:fill="FDE9D9"/>
      </w:tcPr>
    </w:tblStylePr>
    <w:tblStylePr w:type="band2Vert">
      <w:tcPr>
        <w:shd w:val="clear" w:color="auto" w:fill="FDE9D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character" w:styleId="171">
    <w:name w:val="Hyperlink"/>
    <w:uiPriority w:val="99"/>
    <w:unhideWhenUsed/>
    <w:rPr>
      <w:color w:val="0000FF"/>
      <w:u w:val="single"/>
    </w:rPr>
  </w:style>
  <w:style w:type="numbering" w:styleId="172">
    <w:name w:val="GenStyleDefNum"/>
  </w:style>
  <w:style w:type="paragraph" w:styleId="173">
    <w:name w:val="GenStyleDefPar"/>
  </w:style>
  <w:style w:type="table" w:styleId="174">
    <w:name w:val="GenStyleDefTable"/>
    <w:tblPr>
      <w:tblStyleRowBandSize w:val="1"/>
      <w:tblStyleColBandSize w:val="1"/>
    </w:tblPr>
  </w:style>
  <w:style w:type="table" w:styleId="175">
    <w:name w:val="GenStyleDefTableGrid"/>
    <w:basedOn w:val="174"/>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numbering" w:styleId="176" w:default="1">
    <w:name w:val="GenStyleDefNum"/>
  </w:style>
  <w:style w:type="paragraph" w:styleId="177" w:default="1">
    <w:name w:val="GenStyleDefPar"/>
  </w:style>
  <w:style w:type="table" w:styleId="178" w:default="1">
    <w:name w:val="GenStyleDefTable"/>
    <w:tblPr>
      <w:tblStyleRowBandSize w:val="1"/>
      <w:tblStyleColBandSize w:val="1"/>
    </w:tblPr>
  </w:style>
  <w:style w:type="table" w:styleId="179">
    <w:name w:val="GenStyleDefTableGrid"/>
    <w:basedOn w:val="178"/>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character" w:styleId="180" w:default="1">
    <w:name w:val="GenStyleDefChar"/>
  </w:style>
  <w:style w:type="table" w:styleId="181">
    <w:name w:val="GenStyleDefTableGrid"/>
    <w:basedOn w:val="178"/>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82">
    <w:name w:val="GenStyleDefTableGrid"/>
    <w:basedOn w:val="178"/>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83">
    <w:name w:val="GenStyleDefTableGrid"/>
    <w:basedOn w:val="178"/>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84">
    <w:name w:val="Table Grid"/>
    <w:basedOn w:val="14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paragraph" w:styleId="185">
    <w:name w:val="Normal"/>
    <w:next w:val="185"/>
    <w:rPr>
      <w:sz w:val="22"/>
      <w:szCs w:val="22"/>
      <w:lang w:val="en-US" w:bidi="ar-SA" w:eastAsia="en-US"/>
    </w:rPr>
  </w:style>
  <w:style w:type="character" w:styleId="186">
    <w:name w:val="NormalCharacter"/>
    <w:next w:val="186"/>
    <w:semiHidden/>
  </w:style>
  <w:style w:type="table" w:styleId="187">
    <w:name w:val="TableNormal"/>
    <w:next w:val="187"/>
    <w:semiHidden/>
    <w:tblPr>
      <w:tblStyleRowBandSize w:val="1"/>
      <w:tblStyleColBandSize w:val="1"/>
      <w:tblCellMar>
        <w:left w:w="108" w:type="dxa"/>
        <w:top w:w="0" w:type="dxa"/>
        <w:right w:w="108" w:type="dxa"/>
        <w:bottom w:w="0" w:type="dxa"/>
      </w:tblCellMar>
    </w:tblPr>
  </w:style>
  <w:style w:type="numbering" w:styleId="188">
    <w:name w:val="NormalList"/>
    <w:next w:val="188"/>
    <w:semiHidden/>
  </w:style>
  <w:style w:type="paragraph" w:styleId="189">
    <w:name w:val="StGen0"/>
    <w:next w:val="189"/>
    <w:rPr>
      <w:rFonts w:ascii="Arial" w:hAnsi="Arial" w:hint="cs"/>
      <w:color w:val="000000"/>
      <w:sz w:val="24"/>
      <w:szCs w:val="24"/>
      <w:lang w:val="en-US" w:bidi="ar-SA" w:eastAsia="en-US"/>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comments" Target="comments.xml" /><Relationship Id="rId8" Type="http://schemas.microsoft.com/office/2011/relationships/commentsExtended" Target="commentsExtended.xml" /><Relationship Id="rId9" Type="http://schemas.microsoft.com/office/2011/relationships/people" Target="people.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5.0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