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3"/>
      </w:pPr>
      <w:r/>
      <w:r/>
      <w:r>
        <w:t xml:space="preserve">This is an example of setting a shading to a paragraph.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502060505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  <w:style w:type="paragraph" w:styleId="693">
    <w:name w:val="My document style"/>
    <w:qFormat/>
    <w:uiPriority w:val="1"/>
    <w:pPr>
      <w:shd w:val="clear" w:fill="00FF00" w:color="00FF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ONLYOFFICE/6.2.0.99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