
<file path=[Content_Types].xml><?xml version="1.0" encoding="utf-8"?>
<Types xmlns="http://schemas.openxmlformats.org/package/2006/content-types">
  <Default Extension="xlsm" ContentType="application/vnd.ms-excel.sheet.macroEnabled.12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4051300" cy="234759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hart" Target="charts/chart1.xml" /><Relationship Id="rId9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m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lang val="en-US"/>
  <mc:AlternateContent>
    <mc:Choice Requires="c14">
      <c14:style val="124"/>
    </mc:Choice>
    <mc:Fallback>
      <c:style val="24"/>
    </mc:Fallback>
  </mc:AlternateContent>
  <c:chart>
    <c:title>
      <c:tx>
        <c:rich>
          <a:bodyPr/>
          <a:p>
            <a:pPr>
              <a:defRPr/>
            </a:pPr>
            <a:r>
              <a:rPr sz="1300"/>
              <a:t>Financial Overview</a:t>
            </a:r>
            <a:endParaRPr sz="1300"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i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 bwMode="auto">
        <a:prstGeom prst="rect">
          <a:avLst/>
        </a:prstGeom>
        <a:noFill/>
        <a:ln>
          <a:noFill/>
        </a:ln>
      </c:spPr>
    </c:floor>
    <c:sideWall>
      <c:thickness val="0"/>
      <c:spPr bwMode="auto">
        <a:prstGeom prst="rect">
          <a:avLst/>
        </a:prstGeom>
        <a:noFill/>
        <a:ln>
          <a:noFill/>
        </a:ln>
      </c:spPr>
    </c:sideWall>
    <c:backWall>
      <c:thickness val="0"/>
      <c:spPr bwMode="auto">
        <a:prstGeom prst="rect">
          <a:avLst/>
        </a:prstGeom>
        <a:noFill/>
        <a:ln>
          <a:noFill/>
        </a:ln>
      </c:spPr>
    </c:backWall>
    <c:plotArea>
      <c:layout>
        <c:manualLayout/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 xml:space="preserve">Projected Revenue</c:v>
                </c:pt>
              </c:strCache>
            </c:strRef>
          </c:tx>
          <c:spPr bwMode="auto">
            <a:prstGeom prst="rect">
              <a:avLst/>
            </a:prstGeom>
            <a:pattFill prst="smGrid">
              <a:fgClr>
                <a:schemeClr val="tx1"/>
              </a:fgClr>
              <a:bgClr>
                <a:srgbClr val="FFFFFF"/>
              </a:bgClr>
            </a:pattFill>
            <a:ln w="19050">
              <a:solidFill>
                <a:schemeClr val="lt1"/>
              </a:solidFill>
            </a:ln>
          </c:spPr>
          <c:invertIfNegative val="0"/>
          <c:dLbls>
            <c:showBubbleSize val="0"/>
            <c:showCatName val="0"/>
            <c:showLeaderLines val="1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Sheet1!$B$1:$D$1</c:f>
              <c:strCach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strCache>
            </c:strRef>
          </c:cat>
          <c:val>
            <c:numRef>
              <c:f>Sheet1!$B$2:$D$2</c:f>
              <c:numCache>
                <c:ptCount val="3"/>
                <c:pt idx="0" formatCode="General">
                  <c:v>200</c:v>
                </c:pt>
                <c:pt idx="1" formatCode="General">
                  <c:v>240</c:v>
                </c:pt>
                <c:pt idx="2" formatCode="General">
                  <c:v>280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 xml:space="preserve">Estimated Costs</c:v>
                </c:pt>
              </c:strCache>
            </c:strRef>
          </c:tx>
          <c:spPr bwMode="auto">
            <a:prstGeom prst="rect">
              <a:avLst/>
            </a:prstGeom>
            <a:pattFill prst="pct60">
              <a:fgClr>
                <a:schemeClr val="tx1"/>
              </a:fgClr>
              <a:bgClr>
                <a:srgbClr val="FFFFFF"/>
              </a:bgClr>
            </a:pattFill>
            <a:ln w="19050">
              <a:solidFill>
                <a:schemeClr val="lt1"/>
              </a:solidFill>
            </a:ln>
          </c:spPr>
          <c:invertIfNegative val="0"/>
          <c:dLbls>
            <c:showBubbleSize val="0"/>
            <c:showCatName val="0"/>
            <c:showLeaderLines val="1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Sheet1!$B$1:$D$1</c:f>
              <c:strCache>
                <c:ptCount val="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</c:strCache>
            </c:strRef>
          </c:cat>
          <c:val>
            <c:numRef>
              <c:f>Sheet1!$B$3:$D$3</c:f>
              <c:numCache>
                <c:ptCount val="3"/>
                <c:pt idx="0" formatCode="General">
                  <c:v>250</c:v>
                </c:pt>
                <c:pt idx="1" formatCode="General">
                  <c:v>260</c:v>
                </c:pt>
                <c:pt idx="2" formatCode="General">
                  <c:v>280</c:v>
                </c:pt>
              </c:numCache>
            </c:numRef>
          </c:val>
        </c:ser>
        <c:dLbls>
          <c:showBubbleSize val="0"/>
          <c:showCatName val="0"/>
          <c:showLeaderLines val="1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shape val="box"/>
        <c:axId val="2140790029"/>
        <c:axId val="2140790030"/>
      </c:bar3DChart>
      <c:catAx>
        <c:axId val="2140790029"/>
        <c:scaling>
          <c:orientation val="minMax"/>
        </c:scaling>
        <c:delete val="0"/>
        <c:axPos val="b"/>
        <c:majorTickMark val="none"/>
        <c:minorTickMark val="none"/>
        <c:tickLblPos val="nextTo"/>
        <c:spPr bwMode="auto">
          <a:prstGeom prst="rect">
            <a:avLst/>
          </a:prstGeom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90030"/>
        <c:crosses val="autoZero"/>
        <c:auto val="1"/>
        <c:lblAlgn val="ctr"/>
        <c:lblOffset val="100"/>
        <c:noMultiLvlLbl val="0"/>
      </c:catAx>
      <c:valAx>
        <c:axId val="214079003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>
              <a:solidFill>
                <a:schemeClr val="tx1">
                  <a:lumMod val="15000"/>
                  <a:lumOff val="85000"/>
                </a:schemeClr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9002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t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</c:chart>
  <c:spPr bwMode="auto">
    <a:xfrm>
      <a:off x="0" y="0"/>
      <a:ext cx="4051300" cy="2347595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9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>
    <a:shade val="72000"/>
  </a:schemeClr>
  <a:schemeClr val="accent2">
    <a:shade val="72000"/>
  </a:schemeClr>
  <a:schemeClr val="accent3">
    <a:shade val="72000"/>
  </a:schemeClr>
  <a:schemeClr val="accent4">
    <a:shade val="72000"/>
  </a:schemeClr>
  <a:schemeClr val="accent5">
    <a:shade val="72000"/>
  </a:schemeClr>
  <a:schemeClr val="accent6">
    <a:shade val="72000"/>
  </a:schemeClr>
  <cs:variation>
    <a:shade val="44000"/>
  </cs:variation>
  <cs:variation>
    <a:shade val="58000"/>
  </cs:variation>
  <cs:variation>
    <a:shade val="72000"/>
  </cs:variation>
  <cs:variation>
    <a:shade val="86000"/>
  </cs:variation>
  <cs:variation>
    <a:tint val="100000"/>
  </cs:variation>
  <cs:variation>
    <a:tint val="86000"/>
  </cs:variation>
  <cs:variation>
    <a:tint val="72000"/>
  </cs:variation>
  <cs:variation>
    <a:tint val="58000"/>
  </cs:variation>
  <cs:variation>
    <a:tint val="44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 bwMode="auto">
      <a:prstGeom prst="rect">
        <a:avLst/>
      </a:prstGeom>
      <a:pattFill prst="smGrid">
        <a:fgClr>
          <a:schemeClr val="tx1"/>
        </a:fgClr>
        <a:bgClr>
          <a:srgbClr val="FFFFFF"/>
        </a:bgClr>
      </a:pattFill>
      <a:ln w="19050">
        <a:solidFill>
          <a:schemeClr val="lt1"/>
        </a:solidFill>
      </a:ln>
      <a:effectLst>
        <a:innerShdw blurRad="114300">
          <a:schemeClr val="tx1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 bwMode="auto">
      <a:prstGeom prst="rect">
        <a:avLst/>
      </a:prstGeom>
      <a:pattFill prst="wd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 bwMode="auto">
      <a:prstGeom prst="rect">
        <a:avLst/>
      </a:prstGeom>
      <a:solidFill>
        <a:schemeClr val="phClr"/>
      </a:solidFill>
      <a:ln w="9525">
        <a:solidFill>
          <a:schemeClr val="lt1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 bwMode="auto">
      <a:prstGeom prst="rect">
        <a:avLst/>
      </a:prstGeom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 bwMode="auto">
      <a:prstGeom prst="rect">
        <a:avLst/>
      </a:prstGeom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i="0"/>
  </cs:title>
  <cs:trendlin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  <cs:dataPointMarkerLayout symbol="circle" size="6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ONLYOFFICE/7.2.0.164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2</cp:revision>
  <dcterms:modified xsi:type="dcterms:W3CDTF">2022-08-30T11:31:30Z</dcterms:modified>
</cp:coreProperties>
</file>