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COMPANY NAME</w:t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sz w:val="36"/>
                <w:szCs w:val="36"/>
                <w14:ligatures w14:val="none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  <w:t xml:space="preserve">الشعار</w:t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Street Address, City, ST  ZIP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  <w:t xml:space="preserve">CHECKLIST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Please Check the right columns to verify you've done the task. Write your Name/ Name Company and a Check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3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3"/>
                  </w:rPr>
                  <w:t xml:space="preserve">TASKS LIST</w:t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IN  PROCESS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DONE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2024-10-02T12:34:29Z</dcterms:modified>
</cp:coreProperties>
</file>