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28"/>
        <w:gridCol w:w="2110"/>
        <w:gridCol w:w="1956"/>
        <w:gridCol w:w="2005"/>
        <w:gridCol w:w="1831"/>
        <w:gridCol w:w="1831"/>
        <w:gridCol w:w="216"/>
        <w:gridCol w:w="3669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28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N.º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1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5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Fecha: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00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f7600eb9bed64bf7bd9f43f18b1908c0"/>
                </w:placeholder>
                <w:showingPlcHdr w:val="true"/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t xml:space="preserve">Fecha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3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66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0" w:hanging="142" w:left="142"/>
              <w:jc w:val="right"/>
              <w:rPr>
                <w:rFonts w:ascii="Bahnschrift" w:hAnsi="Bahnschrift" w:cs="Bahnschrift"/>
                <w:color w:val="067368"/>
                <w:sz w:val="34"/>
                <w:szCs w:val="34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4"/>
                <w:szCs w:val="34"/>
              </w:rPr>
              <w:t xml:space="preserve">ORDEN DE COMPRA</w:t>
            </w:r>
            <w:r>
              <w:rPr>
                <w:rFonts w:ascii="Bahnschrift" w:hAnsi="Bahnschrift" w:cs="Bahnschrift"/>
                <w:color w:val="067368"/>
                <w:sz w:val="34"/>
                <w:szCs w:val="34"/>
              </w:rPr>
            </w:r>
            <w:r>
              <w:rPr>
                <w:rFonts w:ascii="Bahnschrift" w:hAnsi="Bahnschrift" w:cs="Bahnschrift"/>
                <w:color w:val="067368"/>
                <w:sz w:val="34"/>
                <w:szCs w:val="34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ARTÍCULO</w:t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DESCRIPCIÓN DEL ARTÍCULO</w:t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CANTIDAD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PRECIO UNITARIO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0"/>
                <w:szCs w:val="20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VENDEDOR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Descripción del artículo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Cantidad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Contacto o Departmento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Calle y número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Ciudad, código postal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CLIENTE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Nombre y apellidos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Calle y número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Ciudad, código postal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INFORMACIÓN ADICIONAL/COMENTARIO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SUBTOTAL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Aceptado por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Nombre y apellidos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Escriba aquí sus comentarios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IMPUESTO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Aprobado por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Nombre y apellidos</w:t>
                </w:r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ENVÍO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firma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48000" cy="2196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648000" cy="219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51.02pt;height:17.29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firma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648000" cy="216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648000" cy="216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51.02pt;height:17.01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f7600eb9bed64bf7bd9f43f18b1908c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Fecha</w:t>
          </w:r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2024-09-30T17:31:00Z</dcterms:modified>
</cp:coreProperties>
</file>