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7"/>
        <w:spacing w:after="120"/>
        <w:ind/>
        <w:rPr/>
      </w:pPr>
      <w:r>
        <w:t xml:space="preserve">Northgate Depot Relocation</w:t>
      </w:r>
      <w:r/>
    </w:p>
    <w:p>
      <w:pPr>
        <w:pBdr>
          <w:bottom w:val="single" w:color="999999" w:sz="6" w:space="8"/>
        </w:pBdr>
        <w:spacing w:after="400"/>
        <w:ind/>
        <w:rPr/>
      </w:pPr>
      <w:r>
        <w:rPr>
          <w:i/>
          <w:iCs/>
          <w:color w:val="555555"/>
        </w:rPr>
        <w:t xml:space="preserve">Project Brief, Version 1.0, drafted 4 August 2026</w:t>
      </w:r>
      <w:r/>
    </w:p>
    <w:p>
      <w:pPr>
        <w:pStyle w:val="708"/>
        <w:spacing/>
        <w:ind/>
        <w:rPr/>
      </w:pPr>
      <w:r>
        <w:t xml:space="preserve">1. Purpose</w:t>
      </w:r>
      <w:r/>
    </w:p>
    <w:p>
      <w:pPr>
        <w:spacing w:after="160"/>
        <w:ind/>
        <w:rPr/>
      </w:pPr>
      <w:r>
        <w:t xml:space="preserve">This brief sets out the case for relocating depot operations from Northgate to the Calder Park site.</w:t>
      </w:r>
      <w:r/>
    </w:p>
    <w:p>
      <w:pPr>
        <w:spacing w:after="160"/>
        <w:ind/>
        <w:rPr/>
      </w:pPr>
      <w:r>
        <w:t xml:space="preserve">The relocation is driven by the expiry of the Northgate lease in March 2028.</w:t>
      </w:r>
      <w:r/>
    </w:p>
    <w:p>
      <w:pPr>
        <w:pStyle w:val="708"/>
        <w:spacing/>
        <w:ind/>
        <w:rPr/>
      </w:pPr>
      <w:r>
        <w:t xml:space="preserve">2. Scope</w:t>
      </w:r>
      <w:r/>
    </w:p>
    <w:p>
      <w:pPr>
        <w:spacing w:after="160"/>
        <w:ind/>
        <w:rPr/>
      </w:pPr>
      <w:r>
        <w:t xml:space="preserve">The programme covers the following work streams:</w:t>
      </w:r>
      <w:r/>
    </w:p>
    <w:p>
      <w:pPr>
        <w:pStyle w:val="715"/>
        <w:numPr>
          <w:ilvl w:val="0"/>
          <w:numId w:val="2"/>
        </w:numPr>
        <w:spacing/>
        <w:ind/>
        <w:rPr/>
      </w:pPr>
      <w:r>
        <w:t xml:space="preserve">Site acquisition and planning consent</w:t>
      </w:r>
      <w:r/>
    </w:p>
    <w:p>
      <w:pPr>
        <w:pStyle w:val="715"/>
        <w:numPr>
          <w:ilvl w:val="0"/>
          <w:numId w:val="2"/>
        </w:numPr>
        <w:spacing/>
        <w:ind/>
        <w:rPr/>
      </w:pPr>
      <w:r>
        <w:t xml:space="preserve">Design and construction of the main warehouse</w:t>
      </w:r>
      <w:r/>
    </w:p>
    <w:p>
      <w:pPr>
        <w:pStyle w:val="715"/>
        <w:numPr>
          <w:ilvl w:val="0"/>
          <w:numId w:val="2"/>
        </w:numPr>
        <w:spacing/>
        <w:ind/>
        <w:rPr/>
      </w:pPr>
      <w:r>
        <w:t xml:space="preserve">Fleet transition and driver relocation</w:t>
      </w:r>
      <w:r/>
    </w:p>
    <w:p>
      <w:pPr>
        <w:pStyle w:val="715"/>
        <w:numPr>
          <w:ilvl w:val="0"/>
          <w:numId w:val="2"/>
        </w:numPr>
        <w:spacing/>
        <w:ind/>
        <w:rPr/>
      </w:pPr>
      <w:r>
        <w:t xml:space="preserve">Disposal of surplus racking and shelving</w:t>
      </w:r>
      <w:r/>
    </w:p>
    <w:p>
      <w:pPr>
        <w:pStyle w:val="715"/>
        <w:numPr>
          <w:ilvl w:val="0"/>
          <w:numId w:val="2"/>
        </w:numPr>
        <w:spacing/>
        <w:ind/>
        <w:rPr/>
      </w:pPr>
      <w:r>
        <w:t xml:space="preserve">Systems cutover, including the warehouse management platform</w:t>
      </w:r>
      <w:r/>
    </w:p>
    <w:p>
      <w:pPr>
        <w:pStyle w:val="708"/>
        <w:spacing/>
        <w:ind/>
        <w:rPr/>
      </w:pPr>
      <w:r>
        <w:t xml:space="preserve">Assumptions</w:t>
      </w:r>
      <w:r/>
    </w:p>
    <w:p>
      <w:pPr>
        <w:spacing w:after="160"/>
        <w:ind/>
        <w:rPr/>
      </w:pPr>
      <w:r>
        <w:t xml:space="preserve">The figures in this brief assume that planning consent is granted without a public inquiry, and that steel prices remain within ten percent of the June 2026 index.</w:t>
      </w:r>
      <w:r/>
    </w:p>
    <w:p>
      <w:pPr>
        <w:spacing w:after="160"/>
        <w:ind/>
        <w:rPr/>
      </w:pPr>
      <w:r>
        <w:t xml:space="preserve">A contingency of ten percent has been applied to all construction lines.</w:t>
      </w:r>
      <w:r/>
    </w:p>
    <w:p>
      <w:pPr>
        <w:pStyle w:val="708"/>
        <w:spacing/>
        <w:ind/>
        <w:rPr/>
      </w:pPr>
      <w:r>
        <w:t xml:space="preserve">Budget and Milestones</w:t>
      </w:r>
      <w:r/>
    </w:p>
    <w:p>
      <w:pPr>
        <w:spacing w:after="160"/>
        <w:ind/>
        <w:rPr/>
      </w:pPr>
      <w:r>
        <w:t xml:space="preserve">All figures are in thousands of pounds and exclude VAT.</w:t>
      </w:r>
      <w:r/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0"/>
        <w:gridCol w:w="2400"/>
        <w:gridCol w:w="2400"/>
        <w:gridCol w:w="2400"/>
      </w:tblGrid>
      <w:tr>
        <w:trPr>
          <w:tblHeader/>
        </w:trPr>
        <w:tc>
          <w:tcPr>
            <w:shd w:val="clear" w:color="auto" w:fill="e8eef7"/>
            <w:tcBorders/>
            <w:tcW w:w="3600" w:type="dxa"/>
          </w:tcPr>
          <w:p>
            <w:pPr>
              <w:spacing/>
              <w:ind/>
              <w:rPr/>
            </w:pPr>
            <w:r>
              <w:rPr>
                <w:b/>
                <w:bCs/>
              </w:rPr>
              <w:t xml:space="preserve">Work package</w:t>
            </w:r>
            <w:r/>
          </w:p>
        </w:tc>
        <w:tc>
          <w:tcPr>
            <w:shd w:val="clear" w:color="auto" w:fill="e8eef7"/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/>
                <w:bCs/>
              </w:rPr>
              <w:t xml:space="preserve">Owner</w:t>
            </w:r>
            <w:r/>
          </w:p>
        </w:tc>
        <w:tc>
          <w:tcPr>
            <w:shd w:val="clear" w:color="auto" w:fill="e8eef7"/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/>
                <w:bCs/>
              </w:rPr>
              <w:t xml:space="preserve">Budget</w:t>
            </w:r>
            <w:r/>
          </w:p>
        </w:tc>
        <w:tc>
          <w:tcPr>
            <w:shd w:val="clear" w:color="auto" w:fill="e8eef7"/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/>
                <w:bCs/>
              </w:rPr>
              <w:t xml:space="preserve">Due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Land and legal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R. Okafor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1,450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Q4 2026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Warehouse construction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S. Lindqvist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8,200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Q3 2027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Fleet transition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M. Bahri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640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Q4 2027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Surplus racking disposal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M. Bahri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75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Q1 2028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Systems cutover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D. Whitfield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310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Q1 2028</w:t>
            </w:r>
            <w:r/>
          </w:p>
        </w:tc>
      </w:tr>
    </w:tbl>
    <w:p>
      <w:pPr>
        <w:spacing w:after="240"/>
        <w:ind/>
        <w:rPr/>
      </w:pPr>
      <w:r/>
      <w:r/>
    </w:p>
    <w:p>
      <w:pPr>
        <w:spacing w:after="160"/>
        <w:ind/>
        <w:rPr/>
      </w:pPr>
      <w:r>
        <w:t xml:space="preserve">Total programme cost is estimated at 10,675 thousand pounds before contingency.</w:t>
      </w:r>
      <w:r/>
    </w:p>
    <w:p>
      <w:pPr>
        <w:pStyle w:val="708"/>
        <w:spacing/>
        <w:ind/>
        <w:rPr/>
      </w:pPr>
      <w:r>
        <w:t xml:space="preserve">Risks</w:t>
      </w:r>
      <w:r/>
    </w:p>
    <w:p>
      <w:pPr>
        <w:spacing w:after="160"/>
        <w:ind/>
        <w:rPr/>
      </w:pPr>
      <w:r>
        <w:rPr>
          <w:b/>
          <w:bCs/>
        </w:rPr>
        <w:t xml:space="preserve">Principal risk: </w:t>
      </w:r>
      <w:r>
        <w:rPr>
          <w:i w:val="0"/>
          <w:iCs w:val="0"/>
          <w:color w:val="000000"/>
        </w:rPr>
        <w:t xml:space="preserve">refusal of planning consent, which would push the construction start beyond the lease expiry date.</w:t>
      </w:r>
      <w:r/>
    </w:p>
    <w:p>
      <w:pPr>
        <w:spacing w:after="160"/>
        <w:ind/>
        <w:rPr/>
      </w:pPr>
      <w:r>
        <w:t xml:space="preserve">Secondary risks include driver attrition during the transition and the availability of long lead mechanical plant.</w:t>
      </w:r>
      <w:r/>
    </w:p>
    <w:sectPr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ONLYOFFICE/10.0.0.141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revision>2</cp:revision>
  <dcterms:created xsi:type="dcterms:W3CDTF">2026-09-23T09:45:27Z</dcterms:created>
  <dcterms:modified xsi:type="dcterms:W3CDTF">2026-10-06T05:37:21Z</dcterms:modified>
</cp:coreProperties>
</file>