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7"/>
        <w:spacing w:after="120"/>
        <w:ind/>
        <w:rPr/>
      </w:pPr>
      <w:r>
        <w:t xml:space="preserve">Northgate Depot Relocation</w:t>
      </w:r>
      <w:r/>
    </w:p>
    <w:p>
      <w:pPr>
        <w:pBdr>
          <w:bottom w:val="single" w:color="999999" w:sz="6" w:space="8"/>
        </w:pBdr>
        <w:spacing w:after="400"/>
        <w:ind/>
        <w:rPr/>
      </w:pPr>
      <w:r>
        <w:rPr>
          <w:i/>
          <w:iCs/>
          <w:color w:val="555555"/>
        </w:rPr>
        <w:t xml:space="preserve">Project Brief, Version 2.0, reviewed 18 September 2026</w:t>
      </w:r>
      <w:r/>
    </w:p>
    <w:p>
      <w:pPr>
        <w:pStyle w:val="708"/>
        <w:spacing/>
        <w:ind/>
        <w:rPr/>
      </w:pPr>
      <w:r>
        <w:t xml:space="preserve">1. Purpose</w:t>
      </w:r>
      <w:r/>
    </w:p>
    <w:p>
      <w:pPr>
        <w:spacing w:after="160"/>
        <w:ind/>
        <w:rPr/>
      </w:pPr>
      <w:r>
        <w:t xml:space="preserve">This brief sets out the case for relocating depot operations from Northgate to the Calder Park site, and records the decisions taken at the September review board.</w:t>
      </w:r>
      <w:r/>
    </w:p>
    <w:p>
      <w:pPr>
        <w:spacing w:after="160"/>
        <w:ind/>
        <w:rPr/>
      </w:pPr>
      <w:r>
        <w:t xml:space="preserve">The relocation is driven by the expiry of the Northgate lease in March 2028 and by persistent capacity constraints on the loading apron.</w:t>
      </w:r>
      <w:r/>
    </w:p>
    <w:p>
      <w:pPr>
        <w:spacing w:after="160"/>
        <w:ind/>
        <w:rPr/>
      </w:pPr>
      <w:r>
        <w:t xml:space="preserve">Nothing in this brief commits the company to a construction contract; that decision sits with the board in Q1 2027.</w:t>
      </w:r>
      <w:r/>
    </w:p>
    <w:p>
      <w:pPr>
        <w:pStyle w:val="708"/>
        <w:spacing/>
        <w:ind/>
        <w:rPr/>
      </w:pPr>
      <w:r>
        <w:t xml:space="preserve">2. Scope</w:t>
      </w:r>
      <w:r/>
    </w:p>
    <w:p>
      <w:pPr>
        <w:spacing w:after="160"/>
        <w:ind/>
        <w:rPr/>
      </w:pPr>
      <w:r>
        <w:t xml:space="preserve">The programme covers the following work streams: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Site acquisition and planning consent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Design and construction of the main warehouse and the ancillary workshop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Fleet transition and driver relocation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Decommissioning and environmental survey of the Northgate site</w:t>
      </w:r>
      <w:r/>
    </w:p>
    <w:p>
      <w:pPr>
        <w:pStyle w:val="715"/>
        <w:numPr>
          <w:ilvl w:val="0"/>
          <w:numId w:val="2"/>
        </w:numPr>
        <w:spacing/>
        <w:ind/>
        <w:rPr/>
      </w:pPr>
      <w:r>
        <w:t xml:space="preserve">Systems cutover, including the warehouse management platform</w:t>
      </w:r>
      <w:r/>
    </w:p>
    <w:p>
      <w:pPr>
        <w:pStyle w:val="708"/>
        <w:spacing/>
        <w:ind/>
        <w:rPr/>
      </w:pPr>
      <w:r>
        <w:t xml:space="preserve">Budget and Milestones</w:t>
      </w:r>
      <w:r/>
    </w:p>
    <w:p>
      <w:pPr>
        <w:spacing w:after="160"/>
        <w:ind/>
        <w:rPr/>
      </w:pPr>
      <w:r>
        <w:t xml:space="preserve">All figures are in thousands of pounds and exclude VAT.</w:t>
      </w:r>
      <w:r/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2400"/>
        <w:gridCol w:w="2400"/>
        <w:gridCol w:w="2400"/>
      </w:tblGrid>
      <w:tr>
        <w:trPr>
          <w:tblHeader/>
        </w:trPr>
        <w:tc>
          <w:tcPr>
            <w:shd w:val="clear" w:color="auto" w:fill="e8eef7"/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Work package</w:t>
            </w:r>
            <w:r/>
          </w:p>
        </w:tc>
        <w:tc>
          <w:tcPr>
            <w:shd w:val="clear" w:color="auto" w:fill="e8eef7"/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Owner</w:t>
            </w:r>
            <w:r/>
          </w:p>
        </w:tc>
        <w:tc>
          <w:tcPr>
            <w:shd w:val="clear" w:color="auto" w:fill="e8eef7"/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Budget</w:t>
            </w:r>
            <w:r/>
          </w:p>
        </w:tc>
        <w:tc>
          <w:tcPr>
            <w:shd w:val="clear" w:color="auto" w:fill="e8eef7"/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Due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Land and legal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R. Okafor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1,510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Q4 2026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Warehouse construction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S. Lindqvist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9,050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Q4 2027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Ancillary workshop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S. Lindqvist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1,120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Q4 2027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Fleet transition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M. Bahri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640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Q4 2027</w:t>
            </w:r>
            <w:r/>
          </w:p>
        </w:tc>
      </w:tr>
      <w:tr>
        <w:trPr/>
        <w:tc>
          <w:tcPr>
            <w:tcBorders/>
            <w:tcW w:w="36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Systems cutover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D. Whitfield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295</w:t>
            </w:r>
            <w:r/>
          </w:p>
        </w:tc>
        <w:tc>
          <w:tcPr>
            <w:tcBorders/>
            <w:tcW w:w="2400" w:type="dxa"/>
          </w:tcPr>
          <w:p>
            <w:pPr>
              <w:spacing/>
              <w:ind/>
              <w:rPr/>
            </w:pPr>
            <w:r>
              <w:rPr>
                <w:b w:val="0"/>
                <w:bCs w:val="0"/>
              </w:rPr>
              <w:t xml:space="preserve">Q2 2028</w:t>
            </w:r>
            <w:r/>
          </w:p>
        </w:tc>
      </w:tr>
    </w:tbl>
    <w:p>
      <w:pPr>
        <w:spacing w:after="240"/>
        <w:ind/>
        <w:rPr/>
      </w:pPr>
      <w:r/>
      <w:r/>
    </w:p>
    <w:p>
      <w:pPr>
        <w:spacing w:after="160"/>
        <w:ind/>
        <w:rPr/>
      </w:pPr>
      <w:r>
        <w:t xml:space="preserve">Total programme cost is estimated at 12,615 thousand pounds before contingency.</w:t>
      </w:r>
      <w:r/>
    </w:p>
    <w:p>
      <w:pPr>
        <w:pStyle w:val="708"/>
        <w:spacing/>
        <w:ind/>
        <w:rPr/>
      </w:pPr>
      <w:r>
        <w:t xml:space="preserve">Assumptions</w:t>
      </w:r>
      <w:r/>
    </w:p>
    <w:p>
      <w:pPr>
        <w:spacing w:after="160"/>
        <w:ind/>
        <w:rPr/>
      </w:pPr>
      <w:r>
        <w:t xml:space="preserve">The figures in this brief assume that planning consent is granted without a public inquiry, and that steel prices remain within ten percent of the June 2026 index.</w:t>
      </w:r>
      <w:r/>
    </w:p>
    <w:p>
      <w:pPr>
        <w:spacing w:after="160"/>
        <w:ind/>
        <w:rPr/>
      </w:pPr>
      <w:r>
        <w:t xml:space="preserve">A contingency of fifteen percent has been applied to all construction lines.</w:t>
      </w:r>
      <w:r/>
    </w:p>
    <w:p>
      <w:pPr>
        <w:pStyle w:val="708"/>
        <w:spacing/>
        <w:ind/>
        <w:rPr/>
      </w:pPr>
      <w:r>
        <w:t xml:space="preserve">Risks</w:t>
      </w:r>
      <w:r/>
    </w:p>
    <w:p>
      <w:pPr>
        <w:spacing w:after="160"/>
        <w:ind/>
        <w:rPr/>
      </w:pPr>
      <w:r>
        <w:rPr>
          <w:b/>
          <w:bCs/>
        </w:rPr>
        <w:t xml:space="preserve">Principal risk: </w:t>
      </w:r>
      <w:r>
        <w:rPr>
          <w:i/>
          <w:iCs/>
          <w:color w:val="b02418"/>
        </w:rPr>
        <w:t xml:space="preserve">refusal or delay of planning consent, which would push the construction start beyond the lease expiry date.</w:t>
      </w:r>
      <w:r/>
    </w:p>
    <w:p>
      <w:pPr>
        <w:spacing w:after="160"/>
        <w:ind/>
        <w:rPr/>
      </w:pPr>
      <w:r>
        <w:rPr>
          <w:b/>
          <w:bCs/>
        </w:rPr>
        <w:t xml:space="preserve">Secondary risks include driver attrition during the transition and the availability of long lead mechanical plant.</w:t>
      </w:r>
      <w:r/>
    </w:p>
    <w:p>
      <w:pPr>
        <w:pStyle w:val="708"/>
        <w:spacing/>
        <w:ind/>
        <w:rPr/>
      </w:pPr>
      <w:r>
        <w:t xml:space="preserve">Approvals</w:t>
      </w:r>
      <w:r/>
    </w:p>
    <w:p>
      <w:pPr>
        <w:spacing w:after="160"/>
        <w:ind/>
        <w:rPr/>
      </w:pPr>
      <w:r>
        <w:t xml:space="preserve">Reviewed by the September board. Approved to proceed to outline design, subject to the revised contingency.</w:t>
      </w:r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ONLYOFFICE/10.0.0.141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2</cp:revision>
  <dcterms:created xsi:type="dcterms:W3CDTF">2026-09-23T09:45:27Z</dcterms:created>
  <dcterms:modified xsi:type="dcterms:W3CDTF">2026-10-06T05:36:36Z</dcterms:modified>
</cp:coreProperties>
</file>