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pPr>
      <w:r>
        <w:t xml:space="preserve">Cheqer</w:t>
      </w:r>
    </w:p>
    <w:p>
      <w:pPr>
        <w:spacing w:after="60"/>
      </w:pPr>
      <w:r>
        <w:rPr>
          <w:color w:val="3B3325"/>
          <w:sz w:val="28"/>
          <w:szCs w:val="28"/>
        </w:rPr>
        <w:t xml:space="preserve">Technology, AI, and Machine Learning Overview</w:t>
      </w:r>
    </w:p>
    <w:p>
      <w:pPr>
        <w:pBdr>
          <w:bottom w:val="single" w:color="8A6D3B" w:sz="6" w:space="4"/>
        </w:pBdr>
        <w:spacing w:after="60"/>
      </w:pPr>
      <w:r>
        <w:rPr>
          <w:color w:val="6B6255"/>
          <w:sz w:val="18"/>
          <w:szCs w:val="18"/>
        </w:rPr>
        <w:t xml:space="preserve">Owen Eskew  ·  powered by Ailura  ·  cheqer.vercel.app  ·  github.com/ONSQ/Ailura_Cheqer_BibleStudy</w:t>
      </w:r>
    </w:p>
    <w:p>
      <w:pPr>
        <w:spacing w:after="80"/>
      </w:pPr>
    </w:p>
    <w:p>
      <w:pPr>
        <w:pStyle w:val="Heading1"/>
        <w:spacing w:after="120" w:before="280"/>
      </w:pPr>
      <w:r>
        <w:t xml:space="preserve">1. What Cheqer Is</w:t>
      </w:r>
    </w:p>
    <w:p>
      <w:pPr>
        <w:spacing w:after="120"/>
      </w:pPr>
      <w:r>
        <w:rPr>
          <w:b w:val="false"/>
          <w:bCs w:val="false"/>
        </w:rPr>
        <w:t xml:space="preserve">Cheqer (חֵׁקֶר, "searching out, deep inquiry") is a word-study Bible application. A reader taps any English word and sees the Hebrew or Greek word behind it, hears it pronounced, follows it through every occurrence in Scripture, and sees how the Septuagint, the Aramaic Targum, and Second Temple writers (Josephus, Philo, 1 Enoch, Jubilees) carry the same idea. Questions asked in plain English are answered by an AI that is only permitted to cite what it actually retrieved.</w:t>
      </w:r>
    </w:p>
    <w:p>
      <w:pPr>
        <w:spacing w:after="120"/>
      </w:pPr>
      <w:r>
        <w:rPr>
          <w:b w:val="false"/>
          <w:bCs w:val="false"/>
        </w:rPr>
        <w:t xml:space="preserve"/>
      </w:r>
      <w:r>
        <w:rPr>
          <w:b/>
          <w:bCs/>
        </w:rPr>
        <w:t xml:space="preserve">Scale of the data spine:</w:t>
      </w:r>
      <w:r>
        <w:rPr>
          <w:b w:val="false"/>
          <w:bCs w:val="false"/>
        </w:rPr>
        <w:t xml:space="preserve"> 425,454 tagged word tokens covering the complete Hebrew Old Testament and Greek New Testament; 13,616 lexemes; three English translations; and 43,021 passages of ancient literature (Septuagint, Targum Onkelos, Josephus, Philo, and thirteen Second Temple works), all semantically indexed.</w:t>
      </w:r>
    </w:p>
    <w:p>
      <w:pPr>
        <w:pStyle w:val="Heading1"/>
        <w:spacing w:after="120" w:before="280"/>
      </w:pPr>
      <w:r>
        <w:t xml:space="preserve">2.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4460"/>
      </w:tblGrid>
      <w:tr>
        <w:tc>
          <w:tcPr>
            <w:tcW w:type="dxa" w:w="1500"/>
            <w:shd w:fill="F0E6D2" w:val="clear"/>
            <w:tcMar>
              <w:top w:type="dxa" w:w="60"/>
              <w:left w:type="dxa" w:w="100"/>
              <w:bottom w:type="dxa" w:w="60"/>
              <w:right w:type="dxa" w:w="100"/>
            </w:tcMar>
          </w:tcPr>
          <w:p>
            <w:pPr>
              <w:spacing w:after="0"/>
            </w:pPr>
            <w:r>
              <w:rPr>
                <w:b/>
                <w:bCs/>
                <w:sz w:val="19"/>
                <w:szCs w:val="19"/>
              </w:rPr>
              <w:t xml:space="preserve">Layer</w:t>
            </w:r>
          </w:p>
        </w:tc>
        <w:tc>
          <w:tcPr>
            <w:tcW w:type="dxa" w:w="3400"/>
            <w:shd w:fill="F0E6D2" w:val="clear"/>
            <w:tcMar>
              <w:top w:type="dxa" w:w="60"/>
              <w:left w:type="dxa" w:w="100"/>
              <w:bottom w:type="dxa" w:w="60"/>
              <w:right w:type="dxa" w:w="100"/>
            </w:tcMar>
          </w:tcPr>
          <w:p>
            <w:pPr>
              <w:spacing w:after="0"/>
            </w:pPr>
            <w:r>
              <w:rPr>
                <w:b/>
                <w:bCs/>
                <w:sz w:val="19"/>
                <w:szCs w:val="19"/>
              </w:rPr>
              <w:t xml:space="preserve">Technology</w:t>
            </w:r>
          </w:p>
        </w:tc>
        <w:tc>
          <w:tcPr>
            <w:tcW w:type="dxa" w:w="4460"/>
            <w:shd w:fill="F0E6D2" w:val="clear"/>
            <w:tcMar>
              <w:top w:type="dxa" w:w="60"/>
              <w:left w:type="dxa" w:w="100"/>
              <w:bottom w:type="dxa" w:w="60"/>
              <w:right w:type="dxa" w:w="100"/>
            </w:tcMar>
          </w:tcPr>
          <w:p>
            <w:pPr>
              <w:spacing w:after="0"/>
            </w:pPr>
            <w:r>
              <w:rPr>
                <w:b/>
                <w:bCs/>
                <w:sz w:val="19"/>
                <w:szCs w:val="19"/>
              </w:rPr>
              <w:t xml:space="preserve">Role</w:t>
            </w:r>
          </w:p>
        </w:tc>
      </w:tr>
      <w:tr>
        <w:tc>
          <w:tcPr>
            <w:tcW w:type="dxa" w:w="1500"/>
            <w:tcMar>
              <w:top w:type="dxa" w:w="60"/>
              <w:left w:type="dxa" w:w="100"/>
              <w:bottom w:type="dxa" w:w="60"/>
              <w:right w:type="dxa" w:w="100"/>
            </w:tcMar>
          </w:tcPr>
          <w:p>
            <w:pPr>
              <w:spacing w:after="0"/>
            </w:pPr>
            <w:r>
              <w:rPr>
                <w:b w:val="false"/>
                <w:bCs w:val="false"/>
                <w:sz w:val="19"/>
                <w:szCs w:val="19"/>
              </w:rPr>
              <w:t xml:space="preserve">Client</w:t>
            </w:r>
          </w:p>
        </w:tc>
        <w:tc>
          <w:tcPr>
            <w:tcW w:type="dxa" w:w="3400"/>
            <w:tcMar>
              <w:top w:type="dxa" w:w="60"/>
              <w:left w:type="dxa" w:w="100"/>
              <w:bottom w:type="dxa" w:w="60"/>
              <w:right w:type="dxa" w:w="100"/>
            </w:tcMar>
          </w:tcPr>
          <w:p>
            <w:pPr>
              <w:spacing w:after="0"/>
            </w:pPr>
            <w:r>
              <w:rPr>
                <w:b w:val="false"/>
                <w:bCs w:val="false"/>
                <w:sz w:val="19"/>
                <w:szCs w:val="19"/>
              </w:rPr>
              <w:t xml:space="preserve">Expo React Native, TypeScript, expo-router, React Query</w:t>
            </w:r>
          </w:p>
        </w:tc>
        <w:tc>
          <w:tcPr>
            <w:tcW w:type="dxa" w:w="4460"/>
            <w:tcMar>
              <w:top w:type="dxa" w:w="60"/>
              <w:left w:type="dxa" w:w="100"/>
              <w:bottom w:type="dxa" w:w="60"/>
              <w:right w:type="dxa" w:w="100"/>
            </w:tcMar>
          </w:tcPr>
          <w:p>
            <w:pPr>
              <w:spacing w:after="0"/>
            </w:pPr>
            <w:r>
              <w:rPr>
                <w:b w:val="false"/>
                <w:bCs w:val="false"/>
                <w:sz w:val="19"/>
                <w:szCs w:val="19"/>
              </w:rPr>
              <w:t xml:space="preserve">One codebase serving web today and Android/iOS next; three-tab app (Reader, Library, Studies)</w:t>
            </w:r>
          </w:p>
        </w:tc>
      </w:tr>
      <w:tr>
        <w:tc>
          <w:tcPr>
            <w:tcW w:type="dxa" w:w="1500"/>
            <w:tcMar>
              <w:top w:type="dxa" w:w="60"/>
              <w:left w:type="dxa" w:w="100"/>
              <w:bottom w:type="dxa" w:w="60"/>
              <w:right w:type="dxa" w:w="100"/>
            </w:tcMar>
          </w:tcPr>
          <w:p>
            <w:pPr>
              <w:spacing w:after="0"/>
            </w:pPr>
            <w:r>
              <w:rPr>
                <w:b w:val="false"/>
                <w:bCs w:val="false"/>
                <w:sz w:val="19"/>
                <w:szCs w:val="19"/>
              </w:rPr>
              <w:t xml:space="preserve">Backend</w:t>
            </w:r>
          </w:p>
        </w:tc>
        <w:tc>
          <w:tcPr>
            <w:tcW w:type="dxa" w:w="3400"/>
            <w:tcMar>
              <w:top w:type="dxa" w:w="60"/>
              <w:left w:type="dxa" w:w="100"/>
              <w:bottom w:type="dxa" w:w="60"/>
              <w:right w:type="dxa" w:w="100"/>
            </w:tcMar>
          </w:tcPr>
          <w:p>
            <w:pPr>
              <w:spacing w:after="0"/>
            </w:pPr>
            <w:r>
              <w:rPr>
                <w:b w:val="false"/>
                <w:bCs w:val="false"/>
                <w:sz w:val="19"/>
                <w:szCs w:val="19"/>
              </w:rPr>
              <w:t xml:space="preserve">Supabase: PostgreSQL, pgvector, Auth, Row Level Security</w:t>
            </w:r>
          </w:p>
        </w:tc>
        <w:tc>
          <w:tcPr>
            <w:tcW w:type="dxa" w:w="4460"/>
            <w:tcMar>
              <w:top w:type="dxa" w:w="60"/>
              <w:left w:type="dxa" w:w="100"/>
              <w:bottom w:type="dxa" w:w="60"/>
              <w:right w:type="dxa" w:w="100"/>
            </w:tcMar>
          </w:tcPr>
          <w:p>
            <w:pPr>
              <w:spacing w:after="0"/>
            </w:pPr>
            <w:r>
              <w:rPr>
                <w:b w:val="false"/>
                <w:bCs w:val="false"/>
                <w:sz w:val="19"/>
                <w:szCs w:val="19"/>
              </w:rPr>
              <w:t xml:space="preserve">All text data, vector search, user accounts, shared studies with owner-based access policies</w:t>
            </w:r>
          </w:p>
        </w:tc>
      </w:tr>
      <w:tr>
        <w:tc>
          <w:tcPr>
            <w:tcW w:type="dxa" w:w="1500"/>
            <w:tcMar>
              <w:top w:type="dxa" w:w="60"/>
              <w:left w:type="dxa" w:w="100"/>
              <w:bottom w:type="dxa" w:w="60"/>
              <w:right w:type="dxa" w:w="100"/>
            </w:tcMar>
          </w:tcPr>
          <w:p>
            <w:pPr>
              <w:spacing w:after="0"/>
            </w:pPr>
            <w:r>
              <w:rPr>
                <w:b w:val="false"/>
                <w:bCs w:val="false"/>
                <w:sz w:val="19"/>
                <w:szCs w:val="19"/>
              </w:rPr>
              <w:t xml:space="preserve">AI functions</w:t>
            </w:r>
          </w:p>
        </w:tc>
        <w:tc>
          <w:tcPr>
            <w:tcW w:type="dxa" w:w="3400"/>
            <w:tcMar>
              <w:top w:type="dxa" w:w="60"/>
              <w:left w:type="dxa" w:w="100"/>
              <w:bottom w:type="dxa" w:w="60"/>
              <w:right w:type="dxa" w:w="100"/>
            </w:tcMar>
          </w:tcPr>
          <w:p>
            <w:pPr>
              <w:spacing w:after="0"/>
            </w:pPr>
            <w:r>
              <w:rPr>
                <w:b w:val="false"/>
                <w:bCs w:val="false"/>
                <w:sz w:val="19"/>
                <w:szCs w:val="19"/>
              </w:rPr>
              <w:t xml:space="preserve">Supabase Edge Functions (Deno)</w:t>
            </w:r>
          </w:p>
        </w:tc>
        <w:tc>
          <w:tcPr>
            <w:tcW w:type="dxa" w:w="4460"/>
            <w:tcMar>
              <w:top w:type="dxa" w:w="60"/>
              <w:left w:type="dxa" w:w="100"/>
              <w:bottom w:type="dxa" w:w="60"/>
              <w:right w:type="dxa" w:w="100"/>
            </w:tcMar>
          </w:tcPr>
          <w:p>
            <w:pPr>
              <w:spacing w:after="0"/>
            </w:pPr>
            <w:r>
              <w:rPr>
                <w:b w:val="false"/>
                <w:bCs w:val="false"/>
                <w:sz w:val="19"/>
                <w:szCs w:val="19"/>
              </w:rPr>
              <w:t xml:space="preserve">Server-side AI orchestration: ask, ask-verse, sod-brief, sod-search; API keys never reach the client</w:t>
            </w:r>
          </w:p>
        </w:tc>
      </w:tr>
      <w:tr>
        <w:tc>
          <w:tcPr>
            <w:tcW w:type="dxa" w:w="1500"/>
            <w:tcMar>
              <w:top w:type="dxa" w:w="60"/>
              <w:left w:type="dxa" w:w="100"/>
              <w:bottom w:type="dxa" w:w="60"/>
              <w:right w:type="dxa" w:w="100"/>
            </w:tcMar>
          </w:tcPr>
          <w:p>
            <w:pPr>
              <w:spacing w:after="0"/>
            </w:pPr>
            <w:r>
              <w:rPr>
                <w:b w:val="false"/>
                <w:bCs w:val="false"/>
                <w:sz w:val="19"/>
                <w:szCs w:val="19"/>
              </w:rPr>
              <w:t xml:space="preserve">Models</w:t>
            </w:r>
          </w:p>
        </w:tc>
        <w:tc>
          <w:tcPr>
            <w:tcW w:type="dxa" w:w="3400"/>
            <w:tcMar>
              <w:top w:type="dxa" w:w="60"/>
              <w:left w:type="dxa" w:w="100"/>
              <w:bottom w:type="dxa" w:w="60"/>
              <w:right w:type="dxa" w:w="100"/>
            </w:tcMar>
          </w:tcPr>
          <w:p>
            <w:pPr>
              <w:spacing w:after="0"/>
            </w:pPr>
            <w:r>
              <w:rPr>
                <w:b w:val="false"/>
                <w:bCs w:val="false"/>
                <w:sz w:val="19"/>
                <w:szCs w:val="19"/>
              </w:rPr>
              <w:t xml:space="preserve">Anthropic Claude Opus 5; OpenAI text-embedding-3-small</w:t>
            </w:r>
          </w:p>
        </w:tc>
        <w:tc>
          <w:tcPr>
            <w:tcW w:type="dxa" w:w="4460"/>
            <w:tcMar>
              <w:top w:type="dxa" w:w="60"/>
              <w:left w:type="dxa" w:w="100"/>
              <w:bottom w:type="dxa" w:w="60"/>
              <w:right w:type="dxa" w:w="100"/>
            </w:tcMar>
          </w:tcPr>
          <w:p>
            <w:pPr>
              <w:spacing w:after="0"/>
            </w:pPr>
            <w:r>
              <w:rPr>
                <w:b w:val="false"/>
                <w:bCs w:val="false"/>
                <w:sz w:val="19"/>
                <w:szCs w:val="19"/>
              </w:rPr>
              <w:t xml:space="preserve">Grounded synthesis and question answering; 1,536-dimension semantic embeddings</w:t>
            </w:r>
          </w:p>
        </w:tc>
      </w:tr>
      <w:tr>
        <w:tc>
          <w:tcPr>
            <w:tcW w:type="dxa" w:w="1500"/>
            <w:tcMar>
              <w:top w:type="dxa" w:w="60"/>
              <w:left w:type="dxa" w:w="100"/>
              <w:bottom w:type="dxa" w:w="60"/>
              <w:right w:type="dxa" w:w="100"/>
            </w:tcMar>
          </w:tcPr>
          <w:p>
            <w:pPr>
              <w:spacing w:after="0"/>
            </w:pPr>
            <w:r>
              <w:rPr>
                <w:b w:val="false"/>
                <w:bCs w:val="false"/>
                <w:sz w:val="19"/>
                <w:szCs w:val="19"/>
              </w:rPr>
              <w:t xml:space="preserve">Hosting</w:t>
            </w:r>
          </w:p>
        </w:tc>
        <w:tc>
          <w:tcPr>
            <w:tcW w:type="dxa" w:w="3400"/>
            <w:tcMar>
              <w:top w:type="dxa" w:w="60"/>
              <w:left w:type="dxa" w:w="100"/>
              <w:bottom w:type="dxa" w:w="60"/>
              <w:right w:type="dxa" w:w="100"/>
            </w:tcMar>
          </w:tcPr>
          <w:p>
            <w:pPr>
              <w:spacing w:after="0"/>
            </w:pPr>
            <w:r>
              <w:rPr>
                <w:b w:val="false"/>
                <w:bCs w:val="false"/>
                <w:sz w:val="19"/>
                <w:szCs w:val="19"/>
              </w:rPr>
              <w:t xml:space="preserve">Vercel (static export), GitHub</w:t>
            </w:r>
          </w:p>
        </w:tc>
        <w:tc>
          <w:tcPr>
            <w:tcW w:type="dxa" w:w="4460"/>
            <w:tcMar>
              <w:top w:type="dxa" w:w="60"/>
              <w:left w:type="dxa" w:w="100"/>
              <w:bottom w:type="dxa" w:w="60"/>
              <w:right w:type="dxa" w:w="100"/>
            </w:tcMar>
          </w:tcPr>
          <w:p>
            <w:pPr>
              <w:spacing w:after="0"/>
            </w:pPr>
            <w:r>
              <w:rPr>
                <w:b w:val="false"/>
                <w:bCs w:val="false"/>
                <w:sz w:val="19"/>
                <w:szCs w:val="19"/>
              </w:rPr>
              <w:t xml:space="preserve">Continuous deployment on every push to main</w:t>
            </w:r>
          </w:p>
        </w:tc>
      </w:tr>
      <w:tr>
        <w:tc>
          <w:tcPr>
            <w:tcW w:type="dxa" w:w="1500"/>
            <w:tcMar>
              <w:top w:type="dxa" w:w="60"/>
              <w:left w:type="dxa" w:w="100"/>
              <w:bottom w:type="dxa" w:w="60"/>
              <w:right w:type="dxa" w:w="100"/>
            </w:tcMar>
          </w:tcPr>
          <w:p>
            <w:pPr>
              <w:spacing w:after="0"/>
            </w:pPr>
            <w:r>
              <w:rPr>
                <w:b w:val="false"/>
                <w:bCs w:val="false"/>
                <w:sz w:val="19"/>
                <w:szCs w:val="19"/>
              </w:rPr>
              <w:t xml:space="preserve">Ingestion</w:t>
            </w:r>
          </w:p>
        </w:tc>
        <w:tc>
          <w:tcPr>
            <w:tcW w:type="dxa" w:w="3400"/>
            <w:tcMar>
              <w:top w:type="dxa" w:w="60"/>
              <w:left w:type="dxa" w:w="100"/>
              <w:bottom w:type="dxa" w:w="60"/>
              <w:right w:type="dxa" w:w="100"/>
            </w:tcMar>
          </w:tcPr>
          <w:p>
            <w:pPr>
              <w:spacing w:after="0"/>
            </w:pPr>
            <w:r>
              <w:rPr>
                <w:b w:val="false"/>
                <w:bCs w:val="false"/>
                <w:sz w:val="19"/>
                <w:szCs w:val="19"/>
              </w:rPr>
              <w:t xml:space="preserve">Python 3 (standard library)</w:t>
            </w:r>
          </w:p>
        </w:tc>
        <w:tc>
          <w:tcPr>
            <w:tcW w:type="dxa" w:w="4460"/>
            <w:tcMar>
              <w:top w:type="dxa" w:w="60"/>
              <w:left w:type="dxa" w:w="100"/>
              <w:bottom w:type="dxa" w:w="60"/>
              <w:right w:type="dxa" w:w="100"/>
            </w:tcMar>
          </w:tcPr>
          <w:p>
            <w:pPr>
              <w:spacing w:after="0"/>
            </w:pPr>
            <w:r>
              <w:rPr>
                <w:b w:val="false"/>
                <w:bCs w:val="false"/>
                <w:sz w:val="19"/>
                <w:szCs w:val="19"/>
              </w:rPr>
              <w:t xml:space="preserve">Nine idempotent pipelines parsing TEI XML, REST APIs, and scholarly data formats</w:t>
            </w:r>
          </w:p>
        </w:tc>
      </w:tr>
    </w:tbl>
    <w:p>
      <w:pPr>
        <w:spacing w:after="80"/>
      </w:pPr>
    </w:p>
    <w:p>
      <w:pPr>
        <w:pStyle w:val="Heading1"/>
        <w:spacing w:after="120" w:before="280"/>
      </w:pPr>
      <w:r>
        <w:t xml:space="preserve">3. AI and Machine Learning Components</w:t>
      </w:r>
    </w:p>
    <w:p>
      <w:pPr>
        <w:pStyle w:val="Heading2"/>
        <w:spacing w:after="100" w:before="200"/>
      </w:pPr>
      <w:r>
        <w:t xml:space="preserve">3.1 Retrieval-Augmented Generation with Structural Grounding</w:t>
      </w:r>
    </w:p>
    <w:p>
      <w:pPr>
        <w:spacing w:after="120"/>
      </w:pPr>
      <w:r>
        <w:rPr>
          <w:b w:val="false"/>
          <w:bCs w:val="false"/>
        </w:rPr>
        <w:t xml:space="preserve">Three AI features answer questions: a natural-language front door ("where does Scripture talk about the sons of God?"), passage-level Q&amp;A on any selected verses, and generated word-study briefs. All follow one architecture: </w:t>
      </w:r>
      <w:r>
        <w:rPr>
          <w:b/>
          <w:bCs/>
        </w:rPr>
        <w:t xml:space="preserve">Claude Opus 5 runs an agentic tool loop</w:t>
      </w:r>
      <w:r>
        <w:rPr>
          <w:b w:val="false"/>
          <w:bCs w:val="false"/>
        </w:rPr>
        <w:t xml:space="preserve"> over search tools (English text search, lexicon search, per-verse tagging lookup, and semantic search over ancient witnesses), then returns a </w:t>
      </w:r>
      <w:r>
        <w:rPr>
          <w:b/>
          <w:bCs/>
        </w:rPr>
        <w:t xml:space="preserve">JSON-schema-constrained structured output</w:t>
      </w:r>
      <w:r>
        <w:rPr>
          <w:b w:val="false"/>
          <w:bCs w:val="false"/>
        </w:rPr>
        <w:t xml:space="preserve"> with an answer and its citations.</w:t>
      </w:r>
    </w:p>
    <w:p>
      <w:pPr>
        <w:spacing w:after="120"/>
      </w:pPr>
      <w:r>
        <w:rPr>
          <w:b w:val="false"/>
          <w:bCs w:val="false"/>
        </w:rPr>
        <w:t xml:space="preserve">The governing rule is </w:t>
      </w:r>
      <w:r>
        <w:rPr>
          <w:b/>
          <w:bCs/>
        </w:rPr>
        <w:t xml:space="preserve">no claim without a retrievable citation</w:t>
      </w:r>
      <w:r>
        <w:rPr>
          <w:b w:val="false"/>
          <w:bCs w:val="false"/>
        </w:rPr>
        <w:t xml:space="preserve">, and it is enforced twice. Prompts require it; then the server independently verifies it: every reference the model returns is checked against the evidence actually retrieved during that request, and unverified references are removed before the response leaves the server. The system is structurally incapable of displaying an invented citation. Each answer also ships a provenance record ("How this was found") listing every search executed, its hit count, and the verification tally.</w:t>
      </w:r>
    </w:p>
    <w:p>
      <w:pPr>
        <w:pStyle w:val="Heading2"/>
        <w:spacing w:after="100" w:before="200"/>
      </w:pPr>
      <w:r>
        <w:t xml:space="preserve">3.2 Semantic Retrieval over Untagged Corpora</w:t>
      </w:r>
    </w:p>
    <w:p>
      <w:pPr>
        <w:spacing w:after="120"/>
      </w:pPr>
      <w:r>
        <w:rPr>
          <w:b w:val="false"/>
          <w:bCs w:val="false"/>
        </w:rPr>
        <w:t xml:space="preserve">The Old and New Testaments are exhaustively tagged, so word lookup there is deterministic SQL. Josephus, Philo, and the Second Temple writings have no tags and no join key. Cheqer embeds all 43,021 ancient passages with OpenAI text-embedding-3-small and retrieves by cosine similarity over a </w:t>
      </w:r>
      <w:r>
        <w:rPr>
          <w:b/>
          <w:bCs/>
        </w:rPr>
        <w:t xml:space="preserve">pgvector IVFFlat index</w:t>
      </w:r>
      <w:r>
        <w:rPr>
          <w:b w:val="false"/>
          <w:bCs w:val="false"/>
        </w:rPr>
        <w:t xml:space="preserve"> (200 lists, 12 probes, tuned after observing the recall cost of default settings).</w:t>
      </w:r>
    </w:p>
    <w:p>
      <w:pPr>
        <w:spacing w:after="120"/>
      </w:pPr>
      <w:r>
        <w:rPr>
          <w:b w:val="false"/>
          <w:bCs w:val="false"/>
        </w:rPr>
        <w:t xml:space="preserve">Query construction matters as much as the index: a lemma’s query is its </w:t>
      </w:r>
      <w:r>
        <w:rPr>
          <w:b/>
          <w:bCs/>
        </w:rPr>
        <w:t xml:space="preserve">semantic field</w:t>
      </w:r>
      <w:r>
        <w:rPr>
          <w:b w:val="false"/>
          <w:bCs w:val="false"/>
        </w:rPr>
        <w:t xml:space="preserve">, built from the lemma plus its distinct gloss senses drawn from the tagged corpus (λόγος: word, account, saying, speech, message). A minimum-similarity floor (0.30) returns nothing rather than weak neighbors, and every retrieved passage is labeled with an evidence tier: same word (tagged), translation equivalent (statistical), close parallel, or thematic echo (by similarity score).</w:t>
      </w:r>
    </w:p>
    <w:p>
      <w:pPr>
        <w:pStyle w:val="Heading2"/>
        <w:spacing w:after="100" w:before="200"/>
      </w:pPr>
      <w:r>
        <w:t xml:space="preserve">3.3 Hybrid Retrieval</w:t>
      </w:r>
    </w:p>
    <w:p>
      <w:pPr>
        <w:spacing w:after="120"/>
      </w:pPr>
      <w:r>
        <w:rPr>
          <w:b w:val="false"/>
          <w:bCs w:val="false"/>
        </w:rPr>
        <w:t xml:space="preserve">The retrieval rule across the whole system: </w:t>
      </w:r>
      <w:r>
        <w:rPr>
          <w:b/>
          <w:bCs/>
        </w:rPr>
        <w:t xml:space="preserve">exact lemma match wherever tagging exists, semantic search where it does not</w:t>
      </w:r>
      <w:r>
        <w:rPr>
          <w:b w:val="false"/>
          <w:bCs w:val="false"/>
        </w:rPr>
        <w:t xml:space="preserve">, merged with the evidence tiers above. The evaluation results in section 3.6 empirically justify this design.</w:t>
      </w:r>
    </w:p>
    <w:p>
      <w:pPr>
        <w:pStyle w:val="Heading2"/>
        <w:spacing w:after="100" w:before="200"/>
      </w:pPr>
      <w:r>
        <w:t xml:space="preserve">3.4 Statistical Translation Alignment</w:t>
      </w:r>
    </w:p>
    <w:p>
      <w:pPr>
        <w:spacing w:after="120"/>
      </w:pPr>
      <w:r>
        <w:rPr>
          <w:b w:val="false"/>
          <w:bCs w:val="false"/>
        </w:rPr>
        <w:t xml:space="preserve">Hebrew and Septuagint Greek share no tagging standard, so Cheqer aligns them statistically: verse-level co-occurrence over 82,574 Hebrew–Greek lemma pairs, filtered by pair count and lift. This recovers the classical translation equivalents (ruach → pneuma and anemos; dabar → logos) with no external lexicon, the same family of technique as early statistical machine translation alignment.</w:t>
      </w:r>
    </w:p>
    <w:p>
      <w:pPr>
        <w:pStyle w:val="Heading2"/>
        <w:spacing w:after="100" w:before="200"/>
      </w:pPr>
      <w:r>
        <w:t xml:space="preserve">3.5 Computational Philology without Machine Learning</w:t>
      </w:r>
    </w:p>
    <w:p>
      <w:pPr>
        <w:spacing w:after="120"/>
      </w:pPr>
      <w:r>
        <w:rPr>
          <w:b w:val="false"/>
          <w:bCs w:val="false"/>
        </w:rPr>
        <w:t xml:space="preserve">Some of the most distinctive features use no models at all. </w:t>
      </w:r>
      <w:r>
        <w:rPr>
          <w:b/>
          <w:bCs/>
        </w:rPr>
        <w:t xml:space="preserve">Sense Drift</w:t>
      </w:r>
      <w:r>
        <w:rPr>
          <w:b w:val="false"/>
          <w:bCs w:val="false"/>
        </w:rPr>
        <w:t xml:space="preserve"> charts how a word’s dominant sense shifts across canonical eras (Torah → Prophets → Writings; Gospels → Paul → General Letters), computed by reducing each tagged gloss to its head sense token, merging plurals, and requiring minimum support. For ruach it reads spirit/wind/breath/side; the pipeline independently surfaced rare senses documented in scholarly lexicons.</w:t>
      </w:r>
    </w:p>
    <w:p>
      <w:pPr>
        <w:pStyle w:val="Heading2"/>
        <w:spacing w:after="100" w:before="200"/>
      </w:pPr>
      <w:r>
        <w:t xml:space="preserve">3.6 Retrieval Evaluation (Independent Study Component)</w:t>
      </w:r>
    </w:p>
    <w:p>
      <w:pPr>
        <w:spacing w:after="120"/>
      </w:pPr>
      <w:r>
        <w:rPr>
          <w:b w:val="false"/>
          <w:bCs w:val="false"/>
        </w:rPr>
        <w:t xml:space="preserve">The tagged Septuagint doubles as an automatic gold standard: a passage is relevant to a lemma exactly when its tagging contains that lemma, giving expert-grade relevance labels at zero annotation cost. Two systems run blind to the tags over 25 Greek lemmas spanning frequency bands: semantic retrieval (the production recipe) and a concordance-style English keyword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500"/>
        <w:gridCol w:w="2260"/>
      </w:tblGrid>
      <w:tr>
        <w:tc>
          <w:tcPr>
            <w:tcW w:type="dxa" w:w="2400"/>
            <w:shd w:fill="F0E6D2" w:val="clear"/>
            <w:tcMar>
              <w:top w:type="dxa" w:w="60"/>
              <w:left w:type="dxa" w:w="100"/>
              <w:bottom w:type="dxa" w:w="60"/>
              <w:right w:type="dxa" w:w="100"/>
            </w:tcMar>
          </w:tcPr>
          <w:p>
            <w:pPr>
              <w:spacing w:after="0"/>
            </w:pPr>
            <w:r>
              <w:rPr>
                <w:b/>
                <w:bCs/>
                <w:sz w:val="19"/>
                <w:szCs w:val="19"/>
              </w:rPr>
              <w:t xml:space="preserve">Metric</w:t>
            </w:r>
          </w:p>
        </w:tc>
        <w:tc>
          <w:tcPr>
            <w:tcW w:type="dxa" w:w="2200"/>
            <w:shd w:fill="F0E6D2" w:val="clear"/>
            <w:tcMar>
              <w:top w:type="dxa" w:w="60"/>
              <w:left w:type="dxa" w:w="100"/>
              <w:bottom w:type="dxa" w:w="60"/>
              <w:right w:type="dxa" w:w="100"/>
            </w:tcMar>
          </w:tcPr>
          <w:p>
            <w:pPr>
              <w:spacing w:after="0"/>
            </w:pPr>
            <w:r>
              <w:rPr>
                <w:b/>
                <w:bCs/>
                <w:sz w:val="19"/>
                <w:szCs w:val="19"/>
              </w:rPr>
              <w:t xml:space="preserve">Semantic</w:t>
            </w:r>
          </w:p>
        </w:tc>
        <w:tc>
          <w:tcPr>
            <w:tcW w:type="dxa" w:w="2500"/>
            <w:shd w:fill="F0E6D2" w:val="clear"/>
            <w:tcMar>
              <w:top w:type="dxa" w:w="60"/>
              <w:left w:type="dxa" w:w="100"/>
              <w:bottom w:type="dxa" w:w="60"/>
              <w:right w:type="dxa" w:w="100"/>
            </w:tcMar>
          </w:tcPr>
          <w:p>
            <w:pPr>
              <w:spacing w:after="0"/>
            </w:pPr>
            <w:r>
              <w:rPr>
                <w:b/>
                <w:bCs/>
                <w:sz w:val="19"/>
                <w:szCs w:val="19"/>
              </w:rPr>
              <w:t xml:space="preserve">Keyword baseline</w:t>
            </w:r>
          </w:p>
        </w:tc>
        <w:tc>
          <w:tcPr>
            <w:tcW w:type="dxa" w:w="2260"/>
            <w:shd w:fill="F0E6D2" w:val="clear"/>
            <w:tcMar>
              <w:top w:type="dxa" w:w="60"/>
              <w:left w:type="dxa" w:w="100"/>
              <w:bottom w:type="dxa" w:w="60"/>
              <w:right w:type="dxa" w:w="100"/>
            </w:tcMar>
          </w:tcPr>
          <w:p>
            <w:pPr>
              <w:spacing w:after="0"/>
            </w:pPr>
            <w:r>
              <w:rPr>
                <w:b/>
                <w:bCs/>
                <w:sz w:val="19"/>
                <w:szCs w:val="19"/>
              </w:rPr>
              <w:t xml:space="preserve">Random base rate</w:t>
            </w:r>
          </w:p>
        </w:tc>
      </w:tr>
      <w:tr>
        <w:tc>
          <w:tcPr>
            <w:tcW w:type="dxa" w:w="2400"/>
            <w:tcMar>
              <w:top w:type="dxa" w:w="60"/>
              <w:left w:type="dxa" w:w="100"/>
              <w:bottom w:type="dxa" w:w="60"/>
              <w:right w:type="dxa" w:w="100"/>
            </w:tcMar>
          </w:tcPr>
          <w:p>
            <w:pPr>
              <w:spacing w:after="0"/>
            </w:pPr>
            <w:r>
              <w:rPr>
                <w:b w:val="false"/>
                <w:bCs w:val="false"/>
                <w:sz w:val="19"/>
                <w:szCs w:val="19"/>
              </w:rPr>
              <w:t xml:space="preserve">Precision@10</w:t>
            </w:r>
          </w:p>
        </w:tc>
        <w:tc>
          <w:tcPr>
            <w:tcW w:type="dxa" w:w="2200"/>
            <w:tcMar>
              <w:top w:type="dxa" w:w="60"/>
              <w:left w:type="dxa" w:w="100"/>
              <w:bottom w:type="dxa" w:w="60"/>
              <w:right w:type="dxa" w:w="100"/>
            </w:tcMar>
          </w:tcPr>
          <w:p>
            <w:pPr>
              <w:spacing w:after="0"/>
            </w:pPr>
            <w:r>
              <w:rPr>
                <w:b w:val="false"/>
                <w:bCs w:val="false"/>
                <w:sz w:val="19"/>
                <w:szCs w:val="19"/>
              </w:rPr>
              <w:t xml:space="preserve">0.772</w:t>
            </w:r>
          </w:p>
        </w:tc>
        <w:tc>
          <w:tcPr>
            <w:tcW w:type="dxa" w:w="2500"/>
            <w:tcMar>
              <w:top w:type="dxa" w:w="60"/>
              <w:left w:type="dxa" w:w="100"/>
              <w:bottom w:type="dxa" w:w="60"/>
              <w:right w:type="dxa" w:w="100"/>
            </w:tcMar>
          </w:tcPr>
          <w:p>
            <w:pPr>
              <w:spacing w:after="0"/>
            </w:pPr>
            <w:r>
              <w:rPr>
                <w:b w:val="false"/>
                <w:bCs w:val="false"/>
                <w:sz w:val="19"/>
                <w:szCs w:val="19"/>
              </w:rPr>
              <w:t xml:space="preserve">0.744</w:t>
            </w:r>
          </w:p>
        </w:tc>
        <w:tc>
          <w:tcPr>
            <w:tcW w:type="dxa" w:w="2260"/>
            <w:tcMar>
              <w:top w:type="dxa" w:w="60"/>
              <w:left w:type="dxa" w:w="100"/>
              <w:bottom w:type="dxa" w:w="60"/>
              <w:right w:type="dxa" w:w="100"/>
            </w:tcMar>
          </w:tcPr>
          <w:p>
            <w:pPr>
              <w:spacing w:after="0"/>
            </w:pPr>
            <w:r>
              <w:rPr>
                <w:b w:val="false"/>
                <w:bCs w:val="false"/>
                <w:sz w:val="19"/>
                <w:szCs w:val="19"/>
              </w:rPr>
              <w:t xml:space="preserve">0.030</w:t>
            </w:r>
          </w:p>
        </w:tc>
      </w:tr>
      <w:tr>
        <w:tc>
          <w:tcPr>
            <w:tcW w:type="dxa" w:w="2400"/>
            <w:tcMar>
              <w:top w:type="dxa" w:w="60"/>
              <w:left w:type="dxa" w:w="100"/>
              <w:bottom w:type="dxa" w:w="60"/>
              <w:right w:type="dxa" w:w="100"/>
            </w:tcMar>
          </w:tcPr>
          <w:p>
            <w:pPr>
              <w:spacing w:after="0"/>
            </w:pPr>
            <w:r>
              <w:rPr>
                <w:b w:val="false"/>
                <w:bCs w:val="false"/>
                <w:sz w:val="19"/>
                <w:szCs w:val="19"/>
              </w:rPr>
              <w:t xml:space="preserve">Precision@25</w:t>
            </w:r>
          </w:p>
        </w:tc>
        <w:tc>
          <w:tcPr>
            <w:tcW w:type="dxa" w:w="2200"/>
            <w:tcMar>
              <w:top w:type="dxa" w:w="60"/>
              <w:left w:type="dxa" w:w="100"/>
              <w:bottom w:type="dxa" w:w="60"/>
              <w:right w:type="dxa" w:w="100"/>
            </w:tcMar>
          </w:tcPr>
          <w:p>
            <w:pPr>
              <w:spacing w:after="0"/>
            </w:pPr>
            <w:r>
              <w:rPr>
                <w:b w:val="false"/>
                <w:bCs w:val="false"/>
                <w:sz w:val="19"/>
                <w:szCs w:val="19"/>
              </w:rPr>
              <w:t xml:space="preserve">0.718</w:t>
            </w:r>
          </w:p>
        </w:tc>
        <w:tc>
          <w:tcPr>
            <w:tcW w:type="dxa" w:w="2500"/>
            <w:tcMar>
              <w:top w:type="dxa" w:w="60"/>
              <w:left w:type="dxa" w:w="100"/>
              <w:bottom w:type="dxa" w:w="60"/>
              <w:right w:type="dxa" w:w="100"/>
            </w:tcMar>
          </w:tcPr>
          <w:p>
            <w:pPr>
              <w:spacing w:after="0"/>
            </w:pPr>
            <w:r>
              <w:rPr>
                <w:b w:val="false"/>
                <w:bCs w:val="false"/>
                <w:sz w:val="19"/>
                <w:szCs w:val="19"/>
              </w:rPr>
              <w:t xml:space="preserve">0.747</w:t>
            </w:r>
          </w:p>
        </w:tc>
        <w:tc>
          <w:tcPr>
            <w:tcW w:type="dxa" w:w="2260"/>
            <w:tcMar>
              <w:top w:type="dxa" w:w="60"/>
              <w:left w:type="dxa" w:w="100"/>
              <w:bottom w:type="dxa" w:w="60"/>
              <w:right w:type="dxa" w:w="100"/>
            </w:tcMar>
          </w:tcPr>
          <w:p>
            <w:pPr>
              <w:spacing w:after="0"/>
            </w:pPr>
            <w:r>
              <w:rPr>
                <w:b w:val="false"/>
                <w:bCs w:val="false"/>
                <w:sz w:val="19"/>
                <w:szCs w:val="19"/>
              </w:rPr>
              <w:t xml:space="preserve">0.030</w:t>
            </w:r>
          </w:p>
        </w:tc>
      </w:tr>
      <w:tr>
        <w:tc>
          <w:tcPr>
            <w:tcW w:type="dxa" w:w="2400"/>
            <w:tcMar>
              <w:top w:type="dxa" w:w="60"/>
              <w:left w:type="dxa" w:w="100"/>
              <w:bottom w:type="dxa" w:w="60"/>
              <w:right w:type="dxa" w:w="100"/>
            </w:tcMar>
          </w:tcPr>
          <w:p>
            <w:pPr>
              <w:spacing w:after="0"/>
            </w:pPr>
            <w:r>
              <w:rPr>
                <w:b w:val="false"/>
                <w:bCs w:val="false"/>
                <w:sz w:val="19"/>
                <w:szCs w:val="19"/>
              </w:rPr>
              <w:t xml:space="preserve">Recall@50</w:t>
            </w:r>
          </w:p>
        </w:tc>
        <w:tc>
          <w:tcPr>
            <w:tcW w:type="dxa" w:w="2200"/>
            <w:tcMar>
              <w:top w:type="dxa" w:w="60"/>
              <w:left w:type="dxa" w:w="100"/>
              <w:bottom w:type="dxa" w:w="60"/>
              <w:right w:type="dxa" w:w="100"/>
            </w:tcMar>
          </w:tcPr>
          <w:p>
            <w:pPr>
              <w:spacing w:after="0"/>
            </w:pPr>
            <w:r>
              <w:rPr>
                <w:b w:val="false"/>
                <w:bCs w:val="false"/>
                <w:sz w:val="19"/>
                <w:szCs w:val="19"/>
              </w:rPr>
              <w:t xml:space="preserve">0.636</w:t>
            </w:r>
          </w:p>
        </w:tc>
        <w:tc>
          <w:tcPr>
            <w:tcW w:type="dxa" w:w="2500"/>
            <w:tcMar>
              <w:top w:type="dxa" w:w="60"/>
              <w:left w:type="dxa" w:w="100"/>
              <w:bottom w:type="dxa" w:w="60"/>
              <w:right w:type="dxa" w:w="100"/>
            </w:tcMar>
          </w:tcPr>
          <w:p>
            <w:pPr>
              <w:spacing w:after="0"/>
            </w:pPr>
            <w:r>
              <w:rPr>
                <w:b w:val="false"/>
                <w:bCs w:val="false"/>
                <w:sz w:val="19"/>
                <w:szCs w:val="19"/>
              </w:rPr>
              <w:t xml:space="preserve">0.715</w:t>
            </w:r>
          </w:p>
        </w:tc>
        <w:tc>
          <w:tcPr>
            <w:tcW w:type="dxa" w:w="2260"/>
            <w:tcMar>
              <w:top w:type="dxa" w:w="60"/>
              <w:left w:type="dxa" w:w="100"/>
              <w:bottom w:type="dxa" w:w="60"/>
              <w:right w:type="dxa" w:w="100"/>
            </w:tcMar>
          </w:tcPr>
          <w:p>
            <w:pPr>
              <w:spacing w:after="0"/>
            </w:pPr>
            <w:r>
              <w:rPr>
                <w:b w:val="false"/>
                <w:bCs w:val="false"/>
                <w:sz w:val="19"/>
                <w:szCs w:val="19"/>
              </w:rPr>
              <w:t xml:space="preserve">—</w:t>
            </w:r>
          </w:p>
        </w:tc>
      </w:tr>
    </w:tbl>
    <w:p>
      <w:pPr>
        <w:spacing w:after="80"/>
      </w:pPr>
    </w:p>
    <w:p>
      <w:pPr>
        <w:spacing w:after="120"/>
      </w:pPr>
      <w:r>
        <w:rPr>
          <w:b w:val="false"/>
          <w:bCs w:val="false"/>
        </w:rPr>
        <w:t xml:space="preserve">Both systems beat chance by roughly 25×, but the near-tie hides </w:t>
      </w:r>
      <w:r>
        <w:rPr>
          <w:b/>
          <w:bCs/>
        </w:rPr>
        <w:t xml:space="preserve">complementary failure modes</w:t>
      </w:r>
      <w:r>
        <w:rPr>
          <w:b w:val="false"/>
          <w:bCs w:val="false"/>
        </w:rPr>
        <w:t xml:space="preserve">: semantic retrieval wins decisively on polysemous lemmas (λόγος 0.80 vs 0.40; πνεῦμα 0.90 vs 0.40) while keyword wins where one English word tracks the lemma (ἁμαρτία 0.90 vs 0.30). The starkest failure, χάρις at 0.00 semantic precision, is a query-representation mismatch: the gloss-built query embeds toward theological "grace" while Septuagint usage is the narrative idiom "found favor." These findings motivate the planned work: a second embedding model, query-construction variants, and learned hybrid fusion. The harness is fully reproducible from the public repository.</w:t>
      </w:r>
    </w:p>
    <w:p>
      <w:pPr>
        <w:pStyle w:val="Heading2"/>
        <w:spacing w:after="100" w:before="200"/>
      </w:pPr>
      <w:r>
        <w:t xml:space="preserve">3.7 Speech and Language Interfaces</w:t>
      </w:r>
    </w:p>
    <w:p>
      <w:pPr>
        <w:spacing w:after="120"/>
      </w:pPr>
      <w:r>
        <w:rPr>
          <w:b w:val="false"/>
          <w:bCs w:val="false"/>
        </w:rPr>
        <w:t xml:space="preserve">Syllable-level pronunciation display parsed from scholarly transliterations (stress marking included), with text-to-speech through native Hebrew and Greek voices where the device provides them, and an automatic best-voice ranking on desktop browsers.</w:t>
      </w:r>
    </w:p>
    <w:p>
      <w:pPr>
        <w:pStyle w:val="Heading1"/>
        <w:spacing w:after="120" w:before="280"/>
      </w:pPr>
      <w:r>
        <w:t xml:space="preserve">4. Engineering Safeguards</w:t>
      </w:r>
    </w:p>
    <w:p>
      <w:pPr>
        <w:pStyle w:val="ListParagraph"/>
        <w:numPr>
          <w:ilvl w:val="0"/>
          <w:numId w:val="2"/>
        </w:numPr>
        <w:spacing w:after="60"/>
      </w:pPr>
      <w:r>
        <w:rPr>
          <w:b w:val="false"/>
          <w:bCs w:val="false"/>
        </w:rPr>
        <w:t xml:space="preserve"/>
      </w:r>
      <w:r>
        <w:rPr>
          <w:b/>
          <w:bCs/>
        </w:rPr>
        <w:t xml:space="preserve">Rate limiting and cost control:</w:t>
      </w:r>
      <w:r>
        <w:rPr>
          <w:b w:val="false"/>
          <w:bCs w:val="false"/>
        </w:rPr>
        <w:t xml:space="preserve"> every AI endpoint passes a database-enforced gate (per-IP hourly and global daily caps) before any paid model call; all usage is logged.</w:t>
      </w:r>
    </w:p>
    <w:p>
      <w:pPr>
        <w:pStyle w:val="ListParagraph"/>
        <w:numPr>
          <w:ilvl w:val="0"/>
          <w:numId w:val="2"/>
        </w:numPr>
        <w:spacing w:after="60"/>
      </w:pPr>
      <w:r>
        <w:rPr>
          <w:b w:val="false"/>
          <w:bCs w:val="false"/>
        </w:rPr>
        <w:t xml:space="preserve"/>
      </w:r>
      <w:r>
        <w:rPr>
          <w:b/>
          <w:bCs/>
        </w:rPr>
        <w:t xml:space="preserve">Security:</w:t>
      </w:r>
      <w:r>
        <w:rPr>
          <w:b w:val="false"/>
          <w:bCs w:val="false"/>
        </w:rPr>
        <w:t xml:space="preserve"> API keys live only in server-side secrets; the client holds a publishable key governed by Row Level Security; study data is owner-scoped with explicit publish semantics.</w:t>
      </w:r>
    </w:p>
    <w:p>
      <w:pPr>
        <w:pStyle w:val="ListParagraph"/>
        <w:numPr>
          <w:ilvl w:val="0"/>
          <w:numId w:val="2"/>
        </w:numPr>
        <w:spacing w:after="60"/>
      </w:pPr>
      <w:r>
        <w:rPr>
          <w:b w:val="false"/>
          <w:bCs w:val="false"/>
        </w:rPr>
        <w:t xml:space="preserve"/>
      </w:r>
      <w:r>
        <w:rPr>
          <w:b/>
          <w:bCs/>
        </w:rPr>
        <w:t xml:space="preserve">Grounding guardrails:</w:t>
      </w:r>
      <w:r>
        <w:rPr>
          <w:b w:val="false"/>
          <w:bCs w:val="false"/>
        </w:rPr>
        <w:t xml:space="preserve"> non-scriptural sources are always attributed by name and never presented with scriptural authority; the AI summarizes witnesses and is instructed never to generate doctrine.</w:t>
      </w:r>
    </w:p>
    <w:p>
      <w:pPr>
        <w:pStyle w:val="ListParagraph"/>
        <w:numPr>
          <w:ilvl w:val="0"/>
          <w:numId w:val="2"/>
        </w:numPr>
        <w:spacing w:after="60"/>
      </w:pPr>
      <w:r>
        <w:rPr>
          <w:b w:val="false"/>
          <w:bCs w:val="false"/>
        </w:rPr>
        <w:t xml:space="preserve"/>
      </w:r>
      <w:r>
        <w:rPr>
          <w:b/>
          <w:bCs/>
        </w:rPr>
        <w:t xml:space="preserve">Privacy:</w:t>
      </w:r>
      <w:r>
        <w:rPr>
          <w:b w:val="false"/>
          <w:bCs w:val="false"/>
        </w:rPr>
        <w:t xml:space="preserve"> first-run email capture stores nothing without an explicitly checked consent box, enforced in the database function itself.</w:t>
      </w:r>
    </w:p>
    <w:p>
      <w:pPr>
        <w:spacing w:after="80"/>
      </w:pPr>
    </w:p>
    <w:p>
      <w:pPr>
        <w:pStyle w:val="Heading1"/>
        <w:spacing w:after="120" w:before="280"/>
      </w:pPr>
      <w:r>
        <w:t xml:space="preserve">5. Data Sources and Licensing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160"/>
        <w:gridCol w:w="2500"/>
      </w:tblGrid>
      <w:tr>
        <w:tc>
          <w:tcPr>
            <w:tcW w:type="dxa" w:w="2700"/>
            <w:shd w:fill="F0E6D2" w:val="clear"/>
            <w:tcMar>
              <w:top w:type="dxa" w:w="60"/>
              <w:left w:type="dxa" w:w="100"/>
              <w:bottom w:type="dxa" w:w="60"/>
              <w:right w:type="dxa" w:w="100"/>
            </w:tcMar>
          </w:tcPr>
          <w:p>
            <w:pPr>
              <w:spacing w:after="0"/>
            </w:pPr>
            <w:r>
              <w:rPr>
                <w:b/>
                <w:bCs/>
                <w:sz w:val="19"/>
                <w:szCs w:val="19"/>
              </w:rPr>
              <w:t xml:space="preserve">Source</w:t>
            </w:r>
          </w:p>
        </w:tc>
        <w:tc>
          <w:tcPr>
            <w:tcW w:type="dxa" w:w="4160"/>
            <w:shd w:fill="F0E6D2" w:val="clear"/>
            <w:tcMar>
              <w:top w:type="dxa" w:w="60"/>
              <w:left w:type="dxa" w:w="100"/>
              <w:bottom w:type="dxa" w:w="60"/>
              <w:right w:type="dxa" w:w="100"/>
            </w:tcMar>
          </w:tcPr>
          <w:p>
            <w:pPr>
              <w:spacing w:after="0"/>
            </w:pPr>
            <w:r>
              <w:rPr>
                <w:b/>
                <w:bCs/>
                <w:sz w:val="19"/>
                <w:szCs w:val="19"/>
              </w:rPr>
              <w:t xml:space="preserve">Content</w:t>
            </w:r>
          </w:p>
        </w:tc>
        <w:tc>
          <w:tcPr>
            <w:tcW w:type="dxa" w:w="2500"/>
            <w:shd w:fill="F0E6D2" w:val="clear"/>
            <w:tcMar>
              <w:top w:type="dxa" w:w="60"/>
              <w:left w:type="dxa" w:w="100"/>
              <w:bottom w:type="dxa" w:w="60"/>
              <w:right w:type="dxa" w:w="100"/>
            </w:tcMar>
          </w:tcPr>
          <w:p>
            <w:pPr>
              <w:spacing w:after="0"/>
            </w:pPr>
            <w:r>
              <w:rPr>
                <w:b/>
                <w:bCs/>
                <w:sz w:val="19"/>
                <w:szCs w:val="19"/>
              </w:rPr>
              <w:t xml:space="preserve">License</w:t>
            </w:r>
          </w:p>
        </w:tc>
      </w:tr>
      <w:tr>
        <w:tc>
          <w:tcPr>
            <w:tcW w:type="dxa" w:w="2700"/>
            <w:tcMar>
              <w:top w:type="dxa" w:w="60"/>
              <w:left w:type="dxa" w:w="100"/>
              <w:bottom w:type="dxa" w:w="60"/>
              <w:right w:type="dxa" w:w="100"/>
            </w:tcMar>
          </w:tcPr>
          <w:p>
            <w:pPr>
              <w:spacing w:after="0"/>
            </w:pPr>
            <w:r>
              <w:rPr>
                <w:b w:val="false"/>
                <w:bCs w:val="false"/>
                <w:sz w:val="19"/>
                <w:szCs w:val="19"/>
              </w:rPr>
              <w:t xml:space="preserve">STEPBible / Tyndale House</w:t>
            </w:r>
          </w:p>
        </w:tc>
        <w:tc>
          <w:tcPr>
            <w:tcW w:type="dxa" w:w="4160"/>
            <w:tcMar>
              <w:top w:type="dxa" w:w="60"/>
              <w:left w:type="dxa" w:w="100"/>
              <w:bottom w:type="dxa" w:w="60"/>
              <w:right w:type="dxa" w:w="100"/>
            </w:tcMar>
          </w:tcPr>
          <w:p>
            <w:pPr>
              <w:spacing w:after="0"/>
            </w:pPr>
            <w:r>
              <w:rPr>
                <w:b w:val="false"/>
                <w:bCs w:val="false"/>
                <w:sz w:val="19"/>
                <w:szCs w:val="19"/>
              </w:rPr>
              <w:t xml:space="preserve">Tagged Hebrew OT + Greek NT (TAHOT/TAGNT)</w:t>
            </w:r>
          </w:p>
        </w:tc>
        <w:tc>
          <w:tcPr>
            <w:tcW w:type="dxa" w:w="2500"/>
            <w:tcMar>
              <w:top w:type="dxa" w:w="60"/>
              <w:left w:type="dxa" w:w="100"/>
              <w:bottom w:type="dxa" w:w="60"/>
              <w:right w:type="dxa" w:w="100"/>
            </w:tcMar>
          </w:tcPr>
          <w:p>
            <w:pPr>
              <w:spacing w:after="0"/>
            </w:pPr>
            <w:r>
              <w:rPr>
                <w:b w:val="false"/>
                <w:bCs w:val="false"/>
                <w:sz w:val="19"/>
                <w:szCs w:val="19"/>
              </w:rPr>
              <w:t xml:space="preserve">CC BY 4.0</w:t>
            </w:r>
          </w:p>
        </w:tc>
      </w:tr>
      <w:tr>
        <w:tc>
          <w:tcPr>
            <w:tcW w:type="dxa" w:w="2700"/>
            <w:tcMar>
              <w:top w:type="dxa" w:w="60"/>
              <w:left w:type="dxa" w:w="100"/>
              <w:bottom w:type="dxa" w:w="60"/>
              <w:right w:type="dxa" w:w="100"/>
            </w:tcMar>
          </w:tcPr>
          <w:p>
            <w:pPr>
              <w:spacing w:after="0"/>
            </w:pPr>
            <w:r>
              <w:rPr>
                <w:b w:val="false"/>
                <w:bCs w:val="false"/>
                <w:sz w:val="19"/>
                <w:szCs w:val="19"/>
              </w:rPr>
              <w:t xml:space="preserve">helloao Bible API</w:t>
            </w:r>
          </w:p>
        </w:tc>
        <w:tc>
          <w:tcPr>
            <w:tcW w:type="dxa" w:w="4160"/>
            <w:tcMar>
              <w:top w:type="dxa" w:w="60"/>
              <w:left w:type="dxa" w:w="100"/>
              <w:bottom w:type="dxa" w:w="60"/>
              <w:right w:type="dxa" w:w="100"/>
            </w:tcMar>
          </w:tcPr>
          <w:p>
            <w:pPr>
              <w:spacing w:after="0"/>
            </w:pPr>
            <w:r>
              <w:rPr>
                <w:b w:val="false"/>
                <w:bCs w:val="false"/>
                <w:sz w:val="19"/>
                <w:szCs w:val="19"/>
              </w:rPr>
              <w:t xml:space="preserve">BSB, KJV, WEB English text</w:t>
            </w:r>
          </w:p>
        </w:tc>
        <w:tc>
          <w:tcPr>
            <w:tcW w:type="dxa" w:w="2500"/>
            <w:tcMar>
              <w:top w:type="dxa" w:w="60"/>
              <w:left w:type="dxa" w:w="100"/>
              <w:bottom w:type="dxa" w:w="60"/>
              <w:right w:type="dxa" w:w="100"/>
            </w:tcMar>
          </w:tcPr>
          <w:p>
            <w:pPr>
              <w:spacing w:after="0"/>
            </w:pPr>
            <w:r>
              <w:rPr>
                <w:b w:val="false"/>
                <w:bCs w:val="false"/>
                <w:sz w:val="19"/>
                <w:szCs w:val="19"/>
              </w:rPr>
              <w:t xml:space="preserve">Public domain / free use</w:t>
            </w:r>
          </w:p>
        </w:tc>
      </w:tr>
      <w:tr>
        <w:tc>
          <w:tcPr>
            <w:tcW w:type="dxa" w:w="2700"/>
            <w:tcMar>
              <w:top w:type="dxa" w:w="60"/>
              <w:left w:type="dxa" w:w="100"/>
              <w:bottom w:type="dxa" w:w="60"/>
              <w:right w:type="dxa" w:w="100"/>
            </w:tcMar>
          </w:tcPr>
          <w:p>
            <w:pPr>
              <w:spacing w:after="0"/>
            </w:pPr>
            <w:r>
              <w:rPr>
                <w:b w:val="false"/>
                <w:bCs w:val="false"/>
                <w:sz w:val="19"/>
                <w:szCs w:val="19"/>
              </w:rPr>
              <w:t xml:space="preserve">CenterBLC</w:t>
            </w:r>
          </w:p>
        </w:tc>
        <w:tc>
          <w:tcPr>
            <w:tcW w:type="dxa" w:w="4160"/>
            <w:tcMar>
              <w:top w:type="dxa" w:w="60"/>
              <w:left w:type="dxa" w:w="100"/>
              <w:bottom w:type="dxa" w:w="60"/>
              <w:right w:type="dxa" w:w="100"/>
            </w:tcMar>
          </w:tcPr>
          <w:p>
            <w:pPr>
              <w:spacing w:after="0"/>
            </w:pPr>
            <w:r>
              <w:rPr>
                <w:b w:val="false"/>
                <w:bCs w:val="false"/>
                <w:sz w:val="19"/>
                <w:szCs w:val="19"/>
              </w:rPr>
              <w:t xml:space="preserve">Tagged Septuagint (Rahlfs 1935)</w:t>
            </w:r>
          </w:p>
        </w:tc>
        <w:tc>
          <w:tcPr>
            <w:tcW w:type="dxa" w:w="2500"/>
            <w:tcMar>
              <w:top w:type="dxa" w:w="60"/>
              <w:left w:type="dxa" w:w="100"/>
              <w:bottom w:type="dxa" w:w="60"/>
              <w:right w:type="dxa" w:w="100"/>
            </w:tcMar>
          </w:tcPr>
          <w:p>
            <w:pPr>
              <w:spacing w:after="0"/>
            </w:pPr>
            <w:r>
              <w:rPr>
                <w:b w:val="false"/>
                <w:bCs w:val="false"/>
                <w:sz w:val="19"/>
                <w:szCs w:val="19"/>
              </w:rPr>
              <w:t xml:space="preserve">MIT</w:t>
            </w:r>
          </w:p>
        </w:tc>
      </w:tr>
      <w:tr>
        <w:tc>
          <w:tcPr>
            <w:tcW w:type="dxa" w:w="2700"/>
            <w:tcMar>
              <w:top w:type="dxa" w:w="60"/>
              <w:left w:type="dxa" w:w="100"/>
              <w:bottom w:type="dxa" w:w="60"/>
              <w:right w:type="dxa" w:w="100"/>
            </w:tcMar>
          </w:tcPr>
          <w:p>
            <w:pPr>
              <w:spacing w:after="0"/>
            </w:pPr>
            <w:r>
              <w:rPr>
                <w:b w:val="false"/>
                <w:bCs w:val="false"/>
                <w:sz w:val="19"/>
                <w:szCs w:val="19"/>
              </w:rPr>
              <w:t xml:space="preserve">Sefaria</w:t>
            </w:r>
          </w:p>
        </w:tc>
        <w:tc>
          <w:tcPr>
            <w:tcW w:type="dxa" w:w="4160"/>
            <w:tcMar>
              <w:top w:type="dxa" w:w="60"/>
              <w:left w:type="dxa" w:w="100"/>
              <w:bottom w:type="dxa" w:w="60"/>
              <w:right w:type="dxa" w:w="100"/>
            </w:tcMar>
          </w:tcPr>
          <w:p>
            <w:pPr>
              <w:spacing w:after="0"/>
            </w:pPr>
            <w:r>
              <w:rPr>
                <w:b w:val="false"/>
                <w:bCs w:val="false"/>
                <w:sz w:val="19"/>
                <w:szCs w:val="19"/>
              </w:rPr>
              <w:t xml:space="preserve">Targum Onkelos; Second Temple apocrypha</w:t>
            </w:r>
          </w:p>
        </w:tc>
        <w:tc>
          <w:tcPr>
            <w:tcW w:type="dxa" w:w="2500"/>
            <w:tcMar>
              <w:top w:type="dxa" w:w="60"/>
              <w:left w:type="dxa" w:w="100"/>
              <w:bottom w:type="dxa" w:w="60"/>
              <w:right w:type="dxa" w:w="100"/>
            </w:tcMar>
          </w:tcPr>
          <w:p>
            <w:pPr>
              <w:spacing w:after="0"/>
            </w:pPr>
            <w:r>
              <w:rPr>
                <w:b w:val="false"/>
                <w:bCs w:val="false"/>
                <w:sz w:val="19"/>
                <w:szCs w:val="19"/>
              </w:rPr>
              <w:t xml:space="preserve">Public domain versions</w:t>
            </w:r>
          </w:p>
        </w:tc>
      </w:tr>
      <w:tr>
        <w:tc>
          <w:tcPr>
            <w:tcW w:type="dxa" w:w="2700"/>
            <w:tcMar>
              <w:top w:type="dxa" w:w="60"/>
              <w:left w:type="dxa" w:w="100"/>
              <w:bottom w:type="dxa" w:w="60"/>
              <w:right w:type="dxa" w:w="100"/>
            </w:tcMar>
          </w:tcPr>
          <w:p>
            <w:pPr>
              <w:spacing w:after="0"/>
            </w:pPr>
            <w:r>
              <w:rPr>
                <w:b w:val="false"/>
                <w:bCs w:val="false"/>
                <w:sz w:val="19"/>
                <w:szCs w:val="19"/>
              </w:rPr>
              <w:t xml:space="preserve">Perseus Digital Library</w:t>
            </w:r>
          </w:p>
        </w:tc>
        <w:tc>
          <w:tcPr>
            <w:tcW w:type="dxa" w:w="4160"/>
            <w:tcMar>
              <w:top w:type="dxa" w:w="60"/>
              <w:left w:type="dxa" w:w="100"/>
              <w:bottom w:type="dxa" w:w="60"/>
              <w:right w:type="dxa" w:w="100"/>
            </w:tcMar>
          </w:tcPr>
          <w:p>
            <w:pPr>
              <w:spacing w:after="0"/>
            </w:pPr>
            <w:r>
              <w:rPr>
                <w:b w:val="false"/>
                <w:bCs w:val="false"/>
                <w:sz w:val="19"/>
                <w:szCs w:val="19"/>
              </w:rPr>
              <w:t xml:space="preserve">Josephus (Greek + Whiston)</w:t>
            </w:r>
          </w:p>
        </w:tc>
        <w:tc>
          <w:tcPr>
            <w:tcW w:type="dxa" w:w="2500"/>
            <w:tcMar>
              <w:top w:type="dxa" w:w="60"/>
              <w:left w:type="dxa" w:w="100"/>
              <w:bottom w:type="dxa" w:w="60"/>
              <w:right w:type="dxa" w:w="100"/>
            </w:tcMar>
          </w:tcPr>
          <w:p>
            <w:pPr>
              <w:spacing w:after="0"/>
            </w:pPr>
            <w:r>
              <w:rPr>
                <w:b w:val="false"/>
                <w:bCs w:val="false"/>
                <w:sz w:val="19"/>
                <w:szCs w:val="19"/>
              </w:rPr>
              <w:t xml:space="preserve">CC BY-SA 4.0</w:t>
            </w:r>
          </w:p>
        </w:tc>
      </w:tr>
      <w:tr>
        <w:tc>
          <w:tcPr>
            <w:tcW w:type="dxa" w:w="2700"/>
            <w:tcMar>
              <w:top w:type="dxa" w:w="60"/>
              <w:left w:type="dxa" w:w="100"/>
              <w:bottom w:type="dxa" w:w="60"/>
              <w:right w:type="dxa" w:w="100"/>
            </w:tcMar>
          </w:tcPr>
          <w:p>
            <w:pPr>
              <w:spacing w:after="0"/>
            </w:pPr>
            <w:r>
              <w:rPr>
                <w:b w:val="false"/>
                <w:bCs w:val="false"/>
                <w:sz w:val="19"/>
                <w:szCs w:val="19"/>
              </w:rPr>
              <w:t xml:space="preserve">OpenGreekAndLatin</w:t>
            </w:r>
          </w:p>
        </w:tc>
        <w:tc>
          <w:tcPr>
            <w:tcW w:type="dxa" w:w="4160"/>
            <w:tcMar>
              <w:top w:type="dxa" w:w="60"/>
              <w:left w:type="dxa" w:w="100"/>
              <w:bottom w:type="dxa" w:w="60"/>
              <w:right w:type="dxa" w:w="100"/>
            </w:tcMar>
          </w:tcPr>
          <w:p>
            <w:pPr>
              <w:spacing w:after="0"/>
            </w:pPr>
            <w:r>
              <w:rPr>
                <w:b w:val="false"/>
                <w:bCs w:val="false"/>
                <w:sz w:val="19"/>
                <w:szCs w:val="19"/>
              </w:rPr>
              <w:t xml:space="preserve">Philo, all 31 works (Greek + Yonge)</w:t>
            </w:r>
          </w:p>
        </w:tc>
        <w:tc>
          <w:tcPr>
            <w:tcW w:type="dxa" w:w="2500"/>
            <w:tcMar>
              <w:top w:type="dxa" w:w="60"/>
              <w:left w:type="dxa" w:w="100"/>
              <w:bottom w:type="dxa" w:w="60"/>
              <w:right w:type="dxa" w:w="100"/>
            </w:tcMar>
          </w:tcPr>
          <w:p>
            <w:pPr>
              <w:spacing w:after="0"/>
            </w:pPr>
            <w:r>
              <w:rPr>
                <w:b w:val="false"/>
                <w:bCs w:val="false"/>
                <w:sz w:val="19"/>
                <w:szCs w:val="19"/>
              </w:rPr>
              <w:t xml:space="preserve">CC BY-SA 4.0</w:t>
            </w:r>
          </w:p>
        </w:tc>
      </w:tr>
      <w:tr>
        <w:tc>
          <w:tcPr>
            <w:tcW w:type="dxa" w:w="2700"/>
            <w:tcMar>
              <w:top w:type="dxa" w:w="60"/>
              <w:left w:type="dxa" w:w="100"/>
              <w:bottom w:type="dxa" w:w="60"/>
              <w:right w:type="dxa" w:w="100"/>
            </w:tcMar>
          </w:tcPr>
          <w:p>
            <w:pPr>
              <w:spacing w:after="0"/>
            </w:pPr>
            <w:r>
              <w:rPr>
                <w:b w:val="false"/>
                <w:bCs w:val="false"/>
                <w:sz w:val="19"/>
                <w:szCs w:val="19"/>
              </w:rPr>
              <w:t xml:space="preserve">Wikisource</w:t>
            </w:r>
          </w:p>
        </w:tc>
        <w:tc>
          <w:tcPr>
            <w:tcW w:type="dxa" w:w="4160"/>
            <w:tcMar>
              <w:top w:type="dxa" w:w="60"/>
              <w:left w:type="dxa" w:w="100"/>
              <w:bottom w:type="dxa" w:w="60"/>
              <w:right w:type="dxa" w:w="100"/>
            </w:tcMar>
          </w:tcPr>
          <w:p>
            <w:pPr>
              <w:spacing w:after="0"/>
            </w:pPr>
            <w:r>
              <w:rPr>
                <w:b w:val="false"/>
                <w:bCs w:val="false"/>
                <w:sz w:val="19"/>
                <w:szCs w:val="19"/>
              </w:rPr>
              <w:t xml:space="preserve">1 Enoch (R. H. Charles, 1917)</w:t>
            </w:r>
          </w:p>
        </w:tc>
        <w:tc>
          <w:tcPr>
            <w:tcW w:type="dxa" w:w="2500"/>
            <w:tcMar>
              <w:top w:type="dxa" w:w="60"/>
              <w:left w:type="dxa" w:w="100"/>
              <w:bottom w:type="dxa" w:w="60"/>
              <w:right w:type="dxa" w:w="100"/>
            </w:tcMar>
          </w:tcPr>
          <w:p>
            <w:pPr>
              <w:spacing w:after="0"/>
            </w:pPr>
            <w:r>
              <w:rPr>
                <w:b w:val="false"/>
                <w:bCs w:val="false"/>
                <w:sz w:val="19"/>
                <w:szCs w:val="19"/>
              </w:rPr>
              <w:t xml:space="preserve">Public domain</w:t>
            </w:r>
          </w:p>
        </w:tc>
      </w:tr>
    </w:tbl>
    <w:p>
      <w:pPr>
        <w:spacing w:after="80"/>
      </w:pPr>
    </w:p>
    <w:p>
      <w:pPr>
        <w:pStyle w:val="Heading1"/>
        <w:spacing w:after="120" w:before="280"/>
      </w:pPr>
      <w:r>
        <w:t xml:space="preserve">6. Capabilities Demonstrated</w:t>
      </w:r>
    </w:p>
    <w:p>
      <w:pPr>
        <w:pStyle w:val="ListParagraph"/>
        <w:numPr>
          <w:ilvl w:val="0"/>
          <w:numId w:val="2"/>
        </w:numPr>
        <w:spacing w:after="60"/>
      </w:pPr>
      <w:r>
        <w:rPr>
          <w:b w:val="false"/>
          <w:bCs w:val="false"/>
        </w:rPr>
        <w:t xml:space="preserve"/>
      </w:r>
      <w:r>
        <w:rPr>
          <w:b/>
          <w:bCs/>
        </w:rPr>
        <w:t xml:space="preserve">LLM orchestration:</w:t>
      </w:r>
      <w:r>
        <w:rPr>
          <w:b w:val="false"/>
          <w:bCs w:val="false"/>
        </w:rPr>
        <w:t xml:space="preserve"> agentic tool loops, structured outputs, prompt design with enforced grounding, and server-side verification of model claims.</w:t>
      </w:r>
    </w:p>
    <w:p>
      <w:pPr>
        <w:pStyle w:val="ListParagraph"/>
        <w:numPr>
          <w:ilvl w:val="0"/>
          <w:numId w:val="2"/>
        </w:numPr>
        <w:spacing w:after="60"/>
      </w:pPr>
      <w:r>
        <w:rPr>
          <w:b w:val="false"/>
          <w:bCs w:val="false"/>
        </w:rPr>
        <w:t xml:space="preserve"/>
      </w:r>
      <w:r>
        <w:rPr>
          <w:b/>
          <w:bCs/>
        </w:rPr>
        <w:t xml:space="preserve">Vector search and information retrieval:</w:t>
      </w:r>
      <w:r>
        <w:rPr>
          <w:b w:val="false"/>
          <w:bCs w:val="false"/>
        </w:rPr>
        <w:t xml:space="preserve"> embedding pipelines at corpus scale, approximate-nearest-neighbor index tuning, query construction, hybrid retrieval design.</w:t>
      </w:r>
    </w:p>
    <w:p>
      <w:pPr>
        <w:pStyle w:val="ListParagraph"/>
        <w:numPr>
          <w:ilvl w:val="0"/>
          <w:numId w:val="2"/>
        </w:numPr>
        <w:spacing w:after="60"/>
      </w:pPr>
      <w:r>
        <w:rPr>
          <w:b w:val="false"/>
          <w:bCs w:val="false"/>
        </w:rPr>
        <w:t xml:space="preserve"/>
      </w:r>
      <w:r>
        <w:rPr>
          <w:b/>
          <w:bCs/>
        </w:rPr>
        <w:t xml:space="preserve">IR evaluation methodology:</w:t>
      </w:r>
      <w:r>
        <w:rPr>
          <w:b w:val="false"/>
          <w:bCs w:val="false"/>
        </w:rPr>
        <w:t xml:space="preserve"> benchmark construction from existing expert annotation, blind baselines, precision/recall analysis, and failure-mode characterization.</w:t>
      </w:r>
    </w:p>
    <w:p>
      <w:pPr>
        <w:pStyle w:val="ListParagraph"/>
        <w:numPr>
          <w:ilvl w:val="0"/>
          <w:numId w:val="2"/>
        </w:numPr>
        <w:spacing w:after="60"/>
      </w:pPr>
      <w:r>
        <w:rPr>
          <w:b w:val="false"/>
          <w:bCs w:val="false"/>
        </w:rPr>
        <w:t xml:space="preserve"/>
      </w:r>
      <w:r>
        <w:rPr>
          <w:b/>
          <w:bCs/>
        </w:rPr>
        <w:t xml:space="preserve">Data engineering:</w:t>
      </w:r>
      <w:r>
        <w:rPr>
          <w:b w:val="false"/>
          <w:bCs w:val="false"/>
        </w:rPr>
        <w:t xml:space="preserve"> nine idempotent ingestion pipelines over TEI XML, REST APIs, and legacy scholarly formats across five languages and scripts.</w:t>
      </w:r>
    </w:p>
    <w:p>
      <w:pPr>
        <w:pStyle w:val="ListParagraph"/>
        <w:numPr>
          <w:ilvl w:val="0"/>
          <w:numId w:val="2"/>
        </w:numPr>
        <w:spacing w:after="60"/>
      </w:pPr>
      <w:r>
        <w:rPr>
          <w:b w:val="false"/>
          <w:bCs w:val="false"/>
        </w:rPr>
        <w:t xml:space="preserve"/>
      </w:r>
      <w:r>
        <w:rPr>
          <w:b/>
          <w:bCs/>
        </w:rPr>
        <w:t xml:space="preserve">Full-stack product development:</w:t>
      </w:r>
      <w:r>
        <w:rPr>
          <w:b w:val="false"/>
          <w:bCs w:val="false"/>
        </w:rPr>
        <w:t xml:space="preserve"> cross-platform React Native, PostgreSQL with row-level security, serverless functions, continuous deployment, dark mode, accessibility, and internationalized text (right-to-left Hebrew).</w:t>
      </w:r>
    </w:p>
    <w:p>
      <w:pPr>
        <w:pStyle w:val="ListParagraph"/>
        <w:numPr>
          <w:ilvl w:val="0"/>
          <w:numId w:val="2"/>
        </w:numPr>
        <w:spacing w:after="60"/>
      </w:pPr>
      <w:r>
        <w:rPr>
          <w:b w:val="false"/>
          <w:bCs w:val="false"/>
        </w:rPr>
        <w:t xml:space="preserve"/>
      </w:r>
      <w:r>
        <w:rPr>
          <w:b/>
          <w:bCs/>
        </w:rPr>
        <w:t xml:space="preserve">Applied responsibility:</w:t>
      </w:r>
      <w:r>
        <w:rPr>
          <w:b w:val="false"/>
          <w:bCs w:val="false"/>
        </w:rPr>
        <w:t xml:space="preserve"> cost gating, consent-gated data collection, license compliance across seven data sources, and epistemically honest UX (evidence tiers, provenance receipts).</w:t>
      </w:r>
    </w:p>
    <w:p>
      <w:pPr>
        <w:spacing w:after="80"/>
      </w:pPr>
    </w:p>
    <w:p>
      <w:pPr>
        <w:pBdr>
          <w:top w:val="single" w:color="8A6D3B" w:sz="6" w:space="4"/>
        </w:pBdr>
        <w:spacing w:before="200"/>
      </w:pPr>
      <w:r>
        <w:rPr>
          <w:i/>
          <w:iCs/>
          <w:color w:val="6B6255"/>
          <w:sz w:val="18"/>
          <w:szCs w:val="18"/>
        </w:rPr>
        <w:t xml:space="preserve">Prepared August 2026. Live application: cheqer.vercel.app · Source: github.com/ONSQ/Ailura_Cheqer_BibleStudy · Evaluation code and results: docs/eval/ in the repository.</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pPr>
    </w:pPrDefault>
  </w:docDefaults>
  <w:style w:type="paragraph" w:styleId="Title">
    <w:name w:val="Title"/>
    <w:basedOn w:val="Normal"/>
    <w:next w:val="Normal"/>
    <w:qFormat/>
    <w:rPr>
      <w:rFonts w:ascii="Calibri" w:cs="Calibri" w:eastAsia="Calibri" w:hAnsi="Calibri"/>
      <w:b/>
      <w:bCs/>
      <w:color w:val="8A6D3B"/>
      <w:sz w:val="48"/>
      <w:szCs w:val="48"/>
    </w:rPr>
  </w:style>
  <w:style w:type="paragraph" w:styleId="Heading1">
    <w:name w:val="Heading 1"/>
    <w:basedOn w:val="Normal"/>
    <w:next w:val="Normal"/>
    <w:qFormat/>
    <w:rPr>
      <w:rFonts w:ascii="Calibri" w:cs="Calibri" w:eastAsia="Calibri" w:hAnsi="Calibri"/>
      <w:b/>
      <w:bCs/>
      <w:color w:val="8A6D3B"/>
      <w:sz w:val="30"/>
      <w:szCs w:val="30"/>
    </w:rPr>
  </w:style>
  <w:style w:type="paragraph" w:styleId="Heading2">
    <w:name w:val="Heading 2"/>
    <w:basedOn w:val="Normal"/>
    <w:next w:val="Normal"/>
    <w:qFormat/>
    <w:rPr>
      <w:rFonts w:ascii="Calibri" w:cs="Calibri" w:eastAsia="Calibri" w:hAnsi="Calibri"/>
      <w:b/>
      <w:bCs/>
      <w:color w:val="3B3325"/>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2026-08-20T02:56:41.460Z</dcterms:created>
  <dcterms:modified xsi:type="dcterms:W3CDTF">2026-08-20T02:56:41.461Z</dcterms:modified>
</cp:coreProperties>
</file>

<file path=docProps/custom.xml><?xml version="1.0" encoding="utf-8"?>
<Properties xmlns="http://schemas.openxmlformats.org/officeDocument/2006/custom-properties" xmlns:vt="http://schemas.openxmlformats.org/officeDocument/2006/docPropsVTypes"/>
</file>