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06" w:rsidRDefault="00675D06"/>
    <w:p w:rsidR="00675D06" w:rsidRDefault="0057560A">
      <w:pPr>
        <w:jc w:val="center"/>
        <w:rPr>
          <w:b/>
        </w:rPr>
      </w:pPr>
      <w:r>
        <w:rPr>
          <w:b/>
        </w:rPr>
        <w:t>VELOCIDADES INSEGURAS E NÍVEL DE RENDA EM ÁREAS URBANAS: O CASO DE CURITIBA</w:t>
      </w:r>
    </w:p>
    <w:p w:rsidR="00675D06" w:rsidRDefault="00675D06">
      <w:pPr>
        <w:jc w:val="center"/>
        <w:rPr>
          <w:b/>
        </w:rPr>
      </w:pPr>
    </w:p>
    <w:p w:rsidR="00675D06" w:rsidRDefault="0057560A">
      <w:pPr>
        <w:rPr>
          <w:b/>
        </w:rPr>
      </w:pPr>
      <w:r>
        <w:rPr>
          <w:b/>
        </w:rPr>
        <w:t>RESUMO</w:t>
      </w:r>
    </w:p>
    <w:p w:rsidR="00675D06" w:rsidRDefault="0057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INTRODUÇÃO</w:t>
      </w:r>
    </w:p>
    <w:p w:rsidR="00675D06" w:rsidRDefault="0057560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675D06" w:rsidRDefault="0057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REVISÃO DA LITERATURA </w:t>
      </w:r>
    </w:p>
    <w:p w:rsidR="00675D06" w:rsidRDefault="005756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2. 1 Velocidades inseguras em áreas urbanas</w:t>
      </w:r>
      <w:r>
        <w:rPr>
          <w:b/>
          <w:color w:val="000000"/>
        </w:rPr>
        <w:t xml:space="preserve"> </w:t>
      </w:r>
    </w:p>
    <w:p w:rsidR="00675D06" w:rsidRDefault="0057560A">
      <w:pPr>
        <w:spacing w:line="240" w:lineRule="auto"/>
        <w:jc w:val="both"/>
      </w:pPr>
      <w:r>
        <w:t>De acordo com um estudo da Organização Mundial da Saúde (</w:t>
      </w:r>
      <w:r>
        <w:rPr>
          <w:color w:val="FF0000"/>
        </w:rPr>
        <w:t>OMS, 2017</w:t>
      </w:r>
      <w:r>
        <w:t>), a velocidade excessiva ou inadequada contribui para aproximadamente uma em cada três mortes no trânsito em todo o mundo. Ele também menciona que um aumento de 1 km/h na velocidade média do veículo resulta em um aumento de 4% a 5% nos acidentes fatais.</w:t>
      </w:r>
    </w:p>
    <w:p w:rsidR="00675D06" w:rsidRDefault="0057560A">
      <w:pPr>
        <w:spacing w:line="240" w:lineRule="auto"/>
        <w:jc w:val="both"/>
      </w:pPr>
      <w:r>
        <w:t>O</w:t>
      </w:r>
      <w:r>
        <w:t xml:space="preserve"> termo "velocidade excessiva" refere-se ao caso específico de velocidade inadequada, em que a velocidade do tráfego é maior do que seria apropriado para as circunstâncias da via, do veículo e do motorista. Já o termo "excesso de velocidade" geralmente se r</w:t>
      </w:r>
      <w:r>
        <w:t>efere à prática de dirigir acima dos limites de velocidade estabelecidos, o que implica o não cumprimento das normas legais e de segurança viária. No entanto, ambos os termos se referem à prática do excesso de velocidade no contexto do trânsito e da direçã</w:t>
      </w:r>
      <w:r>
        <w:t>o, bem como às velocidades que representam um risco à segurança viária.</w:t>
      </w:r>
    </w:p>
    <w:p w:rsidR="00675D06" w:rsidRDefault="0057560A">
      <w:pPr>
        <w:spacing w:line="240" w:lineRule="auto"/>
        <w:jc w:val="both"/>
      </w:pPr>
      <w:r>
        <w:rPr>
          <w:color w:val="0D0D0D"/>
          <w:highlight w:val="white"/>
        </w:rPr>
        <w:t xml:space="preserve">A </w:t>
      </w:r>
      <w:r>
        <w:rPr>
          <w:color w:val="000000"/>
          <w:highlight w:val="white"/>
        </w:rPr>
        <w:t>(Organização Mundial da Saúde, 2023)</w:t>
      </w:r>
      <w:r>
        <w:rPr>
          <w:color w:val="0D0D0D"/>
          <w:highlight w:val="white"/>
        </w:rPr>
        <w:t xml:space="preserve"> – OMS, 2023 </w:t>
      </w:r>
      <w:r>
        <w:t xml:space="preserve">em seu </w:t>
      </w:r>
      <w:r>
        <w:rPr>
          <w:i/>
        </w:rPr>
        <w:t>Global status report on road safety 2023</w:t>
      </w:r>
      <w:r>
        <w:rPr>
          <w:color w:val="0D0D0D"/>
          <w:highlight w:val="white"/>
        </w:rPr>
        <w:t xml:space="preserve"> </w:t>
      </w:r>
      <w:r>
        <w:t xml:space="preserve">menciona que, dos 163 países que informaram ter leis sobre excesso de velocidade, 57 </w:t>
      </w:r>
      <w:r>
        <w:t>estão em conformidade com as práticas recomendadas pela OMS, que recomenda que a velocidade máxima em vias urbanas seja de 50 km/h. Além disso, a OMS também recomenda que a velocidade máxima não exceda 30 km/h em áreas residenciais ou áreas com alta concen</w:t>
      </w:r>
      <w:r>
        <w:t>tração de pedestres.</w:t>
      </w:r>
    </w:p>
    <w:p w:rsidR="00675D06" w:rsidRDefault="0057560A">
      <w:pPr>
        <w:spacing w:line="240" w:lineRule="auto"/>
        <w:jc w:val="both"/>
      </w:pPr>
      <w:r>
        <w:t>No entanto, o problema das velocidades inseguras nas cidades não é apenas uma questão de fiscalização ou de bom comportamento do motorista, mas também está relacionado às características e à propriedade das vias e seus arredores e à in</w:t>
      </w:r>
      <w:r>
        <w:t>capacidade de definir limites de velocidade adequados para cada contexto.</w:t>
      </w:r>
    </w:p>
    <w:p w:rsidR="00675D06" w:rsidRDefault="0057560A">
      <w:pPr>
        <w:spacing w:line="240" w:lineRule="auto"/>
        <w:jc w:val="both"/>
      </w:pPr>
      <w:r>
        <w:rPr>
          <w:color w:val="0D0D0D"/>
          <w:highlight w:val="white"/>
        </w:rPr>
        <w:t>O tipo de estrada pode influenciar significativamente a prevalência do excesso de velocidade e possivelmente suas consequências. Nos Estados Unidos, de acordo com dados sobre fatalid</w:t>
      </w:r>
      <w:r>
        <w:rPr>
          <w:color w:val="0D0D0D"/>
          <w:highlight w:val="white"/>
        </w:rPr>
        <w:t>ades de acidentes relacionados ao excesso de velocidade por tipo de estrada em 2021, 13% ocorreram em estradas interestaduais, rurais e urbanas combinadas, enquanto 87% das fatalidades relacionadas ao excesso de velocidade ocorreram em estradas não interes</w:t>
      </w:r>
      <w:r>
        <w:rPr>
          <w:color w:val="0D0D0D"/>
          <w:highlight w:val="white"/>
        </w:rPr>
        <w:t xml:space="preserve">taduais, conforme relatado pela </w:t>
      </w:r>
      <w:r>
        <w:rPr>
          <w:i/>
        </w:rPr>
        <w:t>National Highway Traffic Safety Administration</w:t>
      </w:r>
      <w:r>
        <w:rPr>
          <w:color w:val="0D0D0D"/>
          <w:highlight w:val="white"/>
        </w:rPr>
        <w:t xml:space="preserve"> 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(NHTSA, 2021)</w:t>
      </w:r>
    </w:p>
    <w:p w:rsidR="00675D06" w:rsidRDefault="0057560A">
      <w:pPr>
        <w:spacing w:line="240" w:lineRule="auto"/>
        <w:jc w:val="both"/>
        <w:rPr>
          <w:color w:val="000000"/>
        </w:rPr>
      </w:pPr>
      <w:r>
        <w:t>O impacto das características das vias e do ambiente construído nos acidentes de trânsito, especialmente aqueles relacionados ao excesso de velocidade, é motivo d</w:t>
      </w:r>
      <w:r>
        <w:t xml:space="preserve">e grande preocupação. Fatores como o número de pistas, o tipo de estrada e o limite de velocidade estabelecido podem ter um impacto significativo sobre o comportamento dos motoristas e sua propensão a exceder os limites de velocidade. </w:t>
      </w:r>
      <w:r>
        <w:rPr>
          <w:color w:val="000000"/>
        </w:rPr>
        <w:t>(Wang et al., 2022)</w:t>
      </w:r>
    </w:p>
    <w:p w:rsidR="00675D06" w:rsidRDefault="0057560A">
      <w:pPr>
        <w:spacing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E</w:t>
      </w:r>
      <w:r>
        <w:rPr>
          <w:color w:val="0D0D0D"/>
          <w:highlight w:val="white"/>
        </w:rPr>
        <w:t>m um estudo realizado por</w:t>
      </w:r>
      <w:r>
        <w:rPr>
          <w:color w:val="000000"/>
          <w:highlight w:val="white"/>
        </w:rPr>
        <w:t>(Bogdan et al., 2014)</w:t>
      </w:r>
      <w:r>
        <w:rPr>
          <w:color w:val="0D0D0D"/>
          <w:highlight w:val="white"/>
        </w:rPr>
        <w:t xml:space="preserve">, que analisou a influência da pressão do tempo e do ambiente de direção (urbano e rural), observou-se que a variação de velocidade </w:t>
      </w:r>
      <w:r>
        <w:rPr>
          <w:color w:val="0D0D0D"/>
          <w:highlight w:val="white"/>
        </w:rPr>
        <w:lastRenderedPageBreak/>
        <w:t>é menor em áreas urbanas do que em áreas rurais. Quando os motoristas estão so</w:t>
      </w:r>
      <w:r>
        <w:rPr>
          <w:color w:val="0D0D0D"/>
          <w:highlight w:val="white"/>
        </w:rPr>
        <w:t xml:space="preserve">b pressão de tempo, eles tendem a desconsiderar os limites de velocidade. </w:t>
      </w:r>
      <w:r>
        <w:rPr>
          <w:color w:val="0D0D0D"/>
          <w:highlight w:val="white"/>
        </w:rPr>
        <w:t xml:space="preserve">Ao entrar em uma área urbana, os motoristas tendem a manter uma velocidade relativamente alta para minimizar a perda de tempo. Esses estudos são consistentes com </w:t>
      </w:r>
      <w:r>
        <w:rPr>
          <w:color w:val="000000"/>
          <w:highlight w:val="white"/>
        </w:rPr>
        <w:t>Ellison and Greaves,</w:t>
      </w:r>
      <w:r>
        <w:rPr>
          <w:color w:val="000000"/>
          <w:highlight w:val="white"/>
        </w:rPr>
        <w:t xml:space="preserve"> 2015</w:t>
      </w:r>
      <w:r>
        <w:rPr>
          <w:color w:val="0D0D0D"/>
          <w:highlight w:val="white"/>
        </w:rPr>
        <w:t>, que também observam que os motoristas tendem a superestimar a economia de tempo atribuível ao excesso de velocidade.</w:t>
      </w:r>
    </w:p>
    <w:p w:rsidR="00675D06" w:rsidRDefault="0057560A">
      <w:pPr>
        <w:spacing w:line="240" w:lineRule="auto"/>
        <w:jc w:val="both"/>
        <w:rPr>
          <w:color w:val="0D0D0D"/>
          <w:highlight w:val="white"/>
        </w:rPr>
      </w:pPr>
      <w:r>
        <w:rPr>
          <w:color w:val="000000"/>
          <w:highlight w:val="white"/>
        </w:rPr>
        <w:t xml:space="preserve">(Olmez et al., 2021) </w:t>
      </w:r>
      <w:r>
        <w:rPr>
          <w:color w:val="0D0D0D"/>
          <w:highlight w:val="white"/>
        </w:rPr>
        <w:t>destacam que a densidade populacional nas áreas urbanas das cidades é maior do que nas áreas rurais, o que sign</w:t>
      </w:r>
      <w:r>
        <w:rPr>
          <w:color w:val="0D0D0D"/>
          <w:highlight w:val="white"/>
        </w:rPr>
        <w:t>ifica que as pessoas estão mais expostas a acidentes de trânsito. Esse fenômeno se deve à presença de um grande número de usuários vulneráveis das vias, como pedestres e ciclistas, nas áreas urbanas.</w:t>
      </w:r>
    </w:p>
    <w:p w:rsidR="00675D06" w:rsidRDefault="0057560A">
      <w:pPr>
        <w:spacing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Assim, velocidades inseguras em áreas urbanas representa</w:t>
      </w:r>
      <w:r>
        <w:rPr>
          <w:color w:val="0D0D0D"/>
          <w:highlight w:val="white"/>
        </w:rPr>
        <w:t>m um desafio significativo para a segurança viária, pois essas áreas são o principal cenário para a vida cotidiana da população de uma cidade. A concentração de atividades comerciais, residenciais e recreativas nas áreas urbanas significa que as vias são c</w:t>
      </w:r>
      <w:r>
        <w:rPr>
          <w:color w:val="0D0D0D"/>
          <w:highlight w:val="white"/>
        </w:rPr>
        <w:t>onstantemente trafegadas por pedestres, ciclistas e veículos, criando um ambiente dinâmico e complexo. As consequências de velocidades inseguras em áreas urbanas podem ser graves, pois a densidade populacional, o ambiente construído e as características da</w:t>
      </w:r>
      <w:r>
        <w:rPr>
          <w:color w:val="0D0D0D"/>
          <w:highlight w:val="white"/>
        </w:rPr>
        <w:t>s vias podem aumentar a exposição das pessoas a acidentes de trânsito nessas áreas.</w:t>
      </w:r>
    </w:p>
    <w:p w:rsidR="00675D06" w:rsidRDefault="0057560A">
      <w:pPr>
        <w:spacing w:line="240" w:lineRule="auto"/>
        <w:jc w:val="both"/>
        <w:rPr>
          <w:b/>
        </w:rPr>
      </w:pPr>
      <w:r>
        <w:rPr>
          <w:b/>
        </w:rPr>
        <w:t>2.2  Níveis de renda e segurança viária</w:t>
      </w:r>
    </w:p>
    <w:p w:rsidR="00675D06" w:rsidRDefault="0057560A">
      <w:pPr>
        <w:spacing w:line="240" w:lineRule="auto"/>
        <w:jc w:val="both"/>
      </w:pPr>
      <w:r>
        <w:t>A segurança nas vias das cidades desempenha um papel fundamental nas decisões de localização residencial e comercial, afetando diret</w:t>
      </w:r>
      <w:r>
        <w:t>amente a vida cotidiana dos cidadãos.</w:t>
      </w:r>
    </w:p>
    <w:p w:rsidR="00675D06" w:rsidRDefault="0057560A">
      <w:pPr>
        <w:spacing w:line="240" w:lineRule="auto"/>
        <w:jc w:val="both"/>
      </w:pPr>
      <w:r>
        <w:t>Quando as cidades expandem e melhoram suas redes viárias, abrem-se oportunidades para o estabelecimento de novos bairros, áreas comerciais e polos de inovação, mas, o desenvolvimento do sistema viário em conjunto com o</w:t>
      </w:r>
      <w:r>
        <w:t xml:space="preserve"> crescimento urbano também traz consigo alguns problemas, incluindo a distribuição da infraestrutura urbana e as desigualdades socioespaciais que várias cidades podem sofrer </w:t>
      </w:r>
      <w:r>
        <w:rPr>
          <w:color w:val="000000"/>
        </w:rPr>
        <w:t>(Pereira De Andrade et al., 2020)</w:t>
      </w:r>
    </w:p>
    <w:p w:rsidR="00675D06" w:rsidRDefault="0057560A">
      <w:pPr>
        <w:spacing w:line="240" w:lineRule="auto"/>
        <w:jc w:val="both"/>
      </w:pPr>
      <w:r>
        <w:t>Em geral, áreas com renda mais alta tendem a ter melhor segurança viária devido a investimentos em infraestrutura e políticas de segurança. As pessoas nessas áreas também podem ter acesso a veículos mais seguros e a uma melhor educação sobre direção segura</w:t>
      </w:r>
      <w:r>
        <w:t>. Assim, d</w:t>
      </w:r>
      <w:r>
        <w:rPr>
          <w:color w:val="0D0D0D"/>
          <w:highlight w:val="white"/>
        </w:rPr>
        <w:t xml:space="preserve">e acuerdo con </w:t>
      </w:r>
      <w:r>
        <w:rPr>
          <w:color w:val="000000"/>
        </w:rPr>
        <w:t>(Gomes et al., 2015)</w:t>
      </w:r>
      <w:r>
        <w:rPr>
          <w:color w:val="0D0D0D"/>
          <w:highlight w:val="white"/>
        </w:rPr>
        <w:t xml:space="preserve"> en áreas con menor poder adquisitivo, una posible mayor gravedad de los accidentes puede estar relacionada con una mayor cantidad de desplazamientos no motorizados o una infraestructura vial deficiente.</w:t>
      </w:r>
    </w:p>
    <w:p w:rsidR="00675D06" w:rsidRDefault="0057560A">
      <w:pPr>
        <w:spacing w:line="240" w:lineRule="auto"/>
        <w:jc w:val="both"/>
        <w:rPr>
          <w:color w:val="000000"/>
          <w:highlight w:val="white"/>
        </w:rPr>
      </w:pPr>
      <w:r>
        <w:rPr>
          <w:color w:val="0D0D0D"/>
          <w:highlight w:val="white"/>
        </w:rPr>
        <w:t>Além dis</w:t>
      </w:r>
      <w:r>
        <w:rPr>
          <w:color w:val="0D0D0D"/>
          <w:highlight w:val="white"/>
        </w:rPr>
        <w:t>so, vários fatores relacionados à renda podem influenciar o risco de acidentes, como a propriedade do veículo, a idade do veículo e o status de manutenção, a tolerância ao risco e a qualidade geral do ambiente rodoviário em áreas com diferentes níveis de r</w:t>
      </w:r>
      <w:r>
        <w:rPr>
          <w:color w:val="0D0D0D"/>
          <w:highlight w:val="white"/>
        </w:rPr>
        <w:t xml:space="preserve">enda, de acordo com </w:t>
      </w:r>
      <w:r>
        <w:rPr>
          <w:color w:val="000000"/>
          <w:highlight w:val="white"/>
        </w:rPr>
        <w:t>(Rodrigues Obelheiro et al., 2019)</w:t>
      </w:r>
    </w:p>
    <w:p w:rsidR="00675D06" w:rsidRDefault="0057560A">
      <w:pPr>
        <w:spacing w:line="240" w:lineRule="auto"/>
        <w:jc w:val="both"/>
        <w:rPr>
          <w:color w:val="1F1F1F"/>
        </w:rPr>
      </w:pPr>
      <w:r>
        <w:rPr>
          <w:color w:val="1F1F1F"/>
        </w:rPr>
        <w:t xml:space="preserve">Nesse sentido, conforme apontado por </w:t>
      </w:r>
      <w:r>
        <w:rPr>
          <w:color w:val="000000"/>
        </w:rPr>
        <w:t>(Dumbaugh et al., 2022)</w:t>
      </w:r>
      <w:r>
        <w:rPr>
          <w:color w:val="1F1F1F"/>
        </w:rPr>
        <w:t xml:space="preserve"> em um estudo realizado no Condado de Orange, na Flórida, eles mencionam que as áreas de baixa renda tendem a se aglomerar fora do núcleo urb</w:t>
      </w:r>
      <w:r>
        <w:rPr>
          <w:color w:val="1F1F1F"/>
        </w:rPr>
        <w:t>ano, o que significa que é muito provável que uma parte significativa do tráfego nas principais artérias dessas áreas seja composta por pessoas que moram em outros lugares e passam por essas áreas para chegar ao centro da cidade. A segurança viária e o pro</w:t>
      </w:r>
      <w:r>
        <w:rPr>
          <w:color w:val="1F1F1F"/>
        </w:rPr>
        <w:t>jeto do ambiente construído na sociedade norte-americana parecem estar intimamente ligados a questões mais amplas de desigualdade racial e econômica. As vias arteriais estão associadas a três vezes mais mortes e ferimentos em áreas de baixa renda em compar</w:t>
      </w:r>
      <w:r>
        <w:rPr>
          <w:color w:val="1F1F1F"/>
        </w:rPr>
        <w:t xml:space="preserve">ação com áreas de renda mais alta. Essas disparidades parecem se dever menos à </w:t>
      </w:r>
      <w:r>
        <w:rPr>
          <w:color w:val="1F1F1F"/>
        </w:rPr>
        <w:lastRenderedPageBreak/>
        <w:t>estrutura viária em si e mais ao fato de que as populações de baixa renda estão localizadas ao longo das principais vias arteriais regionais, principalmente localizadas na perif</w:t>
      </w:r>
      <w:r>
        <w:rPr>
          <w:color w:val="1F1F1F"/>
        </w:rPr>
        <w:t>eria, onde são transportados volumes muito maiores de tráfego do que em áreas mais ricas.</w:t>
      </w:r>
    </w:p>
    <w:p w:rsidR="00675D06" w:rsidRDefault="0057560A">
      <w:pPr>
        <w:spacing w:line="240" w:lineRule="auto"/>
        <w:jc w:val="both"/>
        <w:rPr>
          <w:b/>
        </w:rPr>
      </w:pPr>
      <w:r>
        <w:rPr>
          <w:b/>
          <w:color w:val="1F1F1F"/>
        </w:rPr>
        <w:t>2.2.1</w:t>
      </w:r>
      <w:r>
        <w:rPr>
          <w:color w:val="1F1F1F"/>
        </w:rPr>
        <w:t xml:space="preserve">  </w:t>
      </w:r>
      <w:r>
        <w:rPr>
          <w:b/>
        </w:rPr>
        <w:t>Infraestrutura e segurança viária</w:t>
      </w:r>
    </w:p>
    <w:p w:rsidR="00675D06" w:rsidRDefault="0057560A">
      <w:pPr>
        <w:spacing w:line="240" w:lineRule="auto"/>
        <w:jc w:val="both"/>
      </w:pPr>
      <w:r>
        <w:t xml:space="preserve">As áreas urbanas, epicentros da atividade econômica, social e cultural, estão testemunhando um crescimento acelerado que, em </w:t>
      </w:r>
      <w:r>
        <w:t>muitos casos, é acompanhado pelo aumento do congestionamento do tráfego e, infelizmente, por uma preocupante prevalência do excesso de velocidade. Esse fenômeno, que se manifesta no desafio constante de equilibrar a mobilidade eficiente com a segurança viá</w:t>
      </w:r>
      <w:r>
        <w:t>ria, tem repercussões profundas e multifacetadas na vida diária dos habitantes dessas áreas.</w:t>
      </w:r>
    </w:p>
    <w:p w:rsidR="00675D06" w:rsidRDefault="0057560A">
      <w:pPr>
        <w:spacing w:line="240" w:lineRule="auto"/>
        <w:jc w:val="both"/>
      </w:pPr>
      <w:r>
        <w:t xml:space="preserve">A segurança viária, apesar dos esforços para estabelecer regulamentações claras e espaços seguros, ainda é desafiada pelas taxas de acidentes e pelo comportamento </w:t>
      </w:r>
      <w:r>
        <w:t>de risco nas vias. A coexistência harmoniosa entre pedestres, ciclistas e veículos motorizados continua sendo um desafio pendente para as cidades.</w:t>
      </w:r>
    </w:p>
    <w:p w:rsidR="00675D06" w:rsidRDefault="0057560A">
      <w:pPr>
        <w:spacing w:line="240" w:lineRule="auto"/>
        <w:jc w:val="both"/>
      </w:pPr>
      <w:r>
        <w:t>Embora a decisão de exceder a velocidade seja principalmente uma escolha comportamental, as características d</w:t>
      </w:r>
      <w:r>
        <w:t xml:space="preserve">as vias também desempenham um papel significativo na incidência desse risco </w:t>
      </w:r>
      <w:r>
        <w:rPr>
          <w:color w:val="0F0F0F"/>
        </w:rPr>
        <w:t xml:space="preserve">“excesso de velocidade” </w:t>
      </w:r>
      <w:r>
        <w:rPr>
          <w:color w:val="000000"/>
        </w:rPr>
        <w:t>(Suguinoshita et al., 2020)</w:t>
      </w:r>
      <w:r>
        <w:t>.</w:t>
      </w:r>
    </w:p>
    <w:p w:rsidR="00675D06" w:rsidRDefault="0057560A">
      <w:pPr>
        <w:spacing w:line="240" w:lineRule="auto"/>
        <w:jc w:val="both"/>
      </w:pPr>
      <w:r>
        <w:t>A qualidade das vias, entendida como a adequação e a eficiência da infraestrutura viária para garantir um fluxo de tráfego segu</w:t>
      </w:r>
      <w:r>
        <w:t>ro e tranquilo, desempenha um papel importante nesse cenário. A infraestrutura viária de qualidade não só oferece uma estrutura segura para a mobilidade, mas também atua como um impedimento natural ao excesso de velocidade.</w:t>
      </w:r>
    </w:p>
    <w:p w:rsidR="00675D06" w:rsidRDefault="0057560A">
      <w:pPr>
        <w:spacing w:line="240" w:lineRule="auto"/>
        <w:jc w:val="both"/>
      </w:pPr>
      <w:r>
        <w:rPr>
          <w:color w:val="000000"/>
        </w:rPr>
        <w:t>(Sun et al., 2019)</w:t>
      </w:r>
      <w:r>
        <w:t xml:space="preserve"> mencionam que</w:t>
      </w:r>
      <w:r>
        <w:t xml:space="preserve"> o aumento do comprimento da estrada, o aumento da população e a adição de novos veículos motorizados estão positivamente correlacionados com o número de vítimas de acidentes rodoviários. Isso reflete os desafios no projeto de estradas, na alocação de recu</w:t>
      </w:r>
      <w:r>
        <w:t>rsos rodoviários e no gerenciamento de tráfego.</w:t>
      </w:r>
    </w:p>
    <w:p w:rsidR="00675D06" w:rsidRDefault="0057560A">
      <w:pPr>
        <w:spacing w:line="240" w:lineRule="auto"/>
        <w:jc w:val="both"/>
      </w:pPr>
      <w:r>
        <w:rPr>
          <w:color w:val="000000"/>
        </w:rPr>
        <w:t>Mas essas obras e investimentos em infraestrutura rodoviária também se refletiram na distribuição desigual desses serviços, conforme mencionado por (Bittencourt and Faria, 2021)</w:t>
      </w:r>
      <w:r>
        <w:t xml:space="preserve"> que ressaltam que obras realiz</w:t>
      </w:r>
      <w:r>
        <w:t>adas em áreas precárias da cidade tendem a ser projetos de edificações que, apesar de essenciais, não atuam na redução da vulnerabilidade quanto à infraestrutura e à qualidade dos deslocamentos e movimentos urbanos. Isto é, se existe uma forte aderência en</w:t>
      </w:r>
      <w:r>
        <w:t>tre baixa oferta de serviços públicos, de saúde e educação, por exemplo, e maiores investimentos em equipamentos urbanos, ela não é igualmente verificada nos outros três aspectos analisados, pavimentação, iluminação e drenagem urbana, perpetuando as condiç</w:t>
      </w:r>
      <w:r>
        <w:t>ões de desigualdade territorial.</w:t>
      </w:r>
    </w:p>
    <w:p w:rsidR="00675D06" w:rsidRDefault="0057560A">
      <w:pPr>
        <w:spacing w:line="240" w:lineRule="auto"/>
        <w:jc w:val="both"/>
      </w:pPr>
      <w:r>
        <w:rPr>
          <w:b/>
        </w:rPr>
        <w:t>3. METODOLOGIA</w:t>
      </w:r>
    </w:p>
    <w:p w:rsidR="00675D06" w:rsidRDefault="0057560A">
      <w:pPr>
        <w:spacing w:line="240" w:lineRule="auto"/>
        <w:jc w:val="both"/>
      </w:pPr>
      <w:r>
        <w:t>Esta pesquisa é focada na análise das velocidades inseguras em relação aos níveis de renda dos 75 bairros que compõem a área metropolitana da cidade de Curitiba, PR.</w:t>
      </w:r>
    </w:p>
    <w:p w:rsidR="00675D06" w:rsidRDefault="0057560A">
      <w:pPr>
        <w:spacing w:line="240" w:lineRule="auto"/>
        <w:jc w:val="both"/>
      </w:pPr>
      <w:r>
        <w:t>A coleta de dados foi realizada a partir do Estudos Naturalísticos de Direção Brasileira (NDS-BR), que, de acordo com Amâncio (2024), é a primeira pesquisa sobre direção natural no Brasil. Os estudos NDS-BR têm como foco o monitoramento da tarefa de conduç</w:t>
      </w:r>
      <w:r>
        <w:t xml:space="preserve">ão em situações do cotidiano dos participantes. Para tal, o veículo do próprio condutor participante é instrumentado com câmeras de vídeo e receptor </w:t>
      </w:r>
      <w:r>
        <w:rPr>
          <w:i/>
        </w:rPr>
        <w:t>Global Positioning System</w:t>
      </w:r>
      <w:r>
        <w:t xml:space="preserve"> (</w:t>
      </w:r>
      <w:r>
        <w:rPr>
          <w:i/>
        </w:rPr>
        <w:t>GPS</w:t>
      </w:r>
      <w:r>
        <w:t>). As câmeras captam a atividade do condutor e o ambiente externo ao veículo.</w:t>
      </w:r>
      <w:r>
        <w:t xml:space="preserve"> O receptor </w:t>
      </w:r>
      <w:r>
        <w:rPr>
          <w:i/>
        </w:rPr>
        <w:t>GPS</w:t>
      </w:r>
      <w:r>
        <w:t xml:space="preserve"> </w:t>
      </w:r>
      <w:r>
        <w:lastRenderedPageBreak/>
        <w:t>permite o registro de dados de posição geográfica e velocidade segundo a segundo do início ao fim de cada viagem realizada.</w:t>
      </w:r>
    </w:p>
    <w:p w:rsidR="00675D06" w:rsidRDefault="0057560A">
      <w:pPr>
        <w:spacing w:line="240" w:lineRule="auto"/>
        <w:jc w:val="both"/>
      </w:pPr>
      <w:r>
        <w:t xml:space="preserve">Além disso, </w:t>
      </w:r>
      <w:r>
        <w:rPr>
          <w:color w:val="1F1F1F"/>
        </w:rPr>
        <w:t>este estudo utiliza dados sobre os níveis socioeconômicos com base no Censo Demográfico de 2010 realizad</w:t>
      </w:r>
      <w:r>
        <w:rPr>
          <w:color w:val="1F1F1F"/>
        </w:rPr>
        <w:t xml:space="preserve">o pelo Instituto Brasileiro de Geografia e Estatística </w:t>
      </w:r>
      <w:r>
        <w:rPr>
          <w:color w:val="000000"/>
        </w:rPr>
        <w:t>(IBGE, 2010)</w:t>
      </w:r>
      <w:r>
        <w:rPr>
          <w:color w:val="1F1F1F"/>
        </w:rPr>
        <w:t xml:space="preserve"> e disponibilizado pelo </w:t>
      </w:r>
      <w:r>
        <w:t xml:space="preserve">Instituto de Pesquisa e Planejamento Urbano de Curitiba </w:t>
      </w:r>
      <w:r>
        <w:rPr>
          <w:color w:val="000000"/>
        </w:rPr>
        <w:t>(IPPUC, 2015a)</w:t>
      </w:r>
      <w:r>
        <w:t>. Indicadores auxiliares que abordam a qualidade do pavimento, a densidade de radares de veloci</w:t>
      </w:r>
      <w:r>
        <w:t>dade e a densidade de semáforos também foram empregados para ampliar a compreensão de como a infraestrutura rodoviária influencia o relacionamento no tema do estudo</w:t>
      </w:r>
      <w:r>
        <w:rPr>
          <w:color w:val="0D0D0D"/>
          <w:highlight w:val="white"/>
        </w:rPr>
        <w:t>.</w:t>
      </w:r>
    </w:p>
    <w:p w:rsidR="00675D06" w:rsidRDefault="0057560A">
      <w:pPr>
        <w:spacing w:line="240" w:lineRule="auto"/>
        <w:jc w:val="both"/>
        <w:rPr>
          <w:b/>
        </w:rPr>
      </w:pPr>
      <w:r>
        <w:rPr>
          <w:b/>
        </w:rPr>
        <w:t>3.1  Coleta de dados Naturalísticos</w:t>
      </w:r>
    </w:p>
    <w:p w:rsidR="00675D06" w:rsidRDefault="0057560A">
      <w:pPr>
        <w:spacing w:line="240" w:lineRule="auto"/>
        <w:jc w:val="both"/>
      </w:pPr>
      <w:r>
        <w:t>Para o sistema de coleta de dados foi utilizada instru</w:t>
      </w:r>
      <w:r>
        <w:t xml:space="preserve">mentação veicular não intrusiva, com uma Plataforma de Coleta de Dados Naturalísticos (PCDN). A plataforma consiste em 7 elementos, detalhados a seguir: (1) Duas câmeras USB e um GPS USB, projetados para a coleta de dados; (2) Dois cartões de memória para </w:t>
      </w:r>
      <w:r>
        <w:t xml:space="preserve">armazenamento de dados e (3) Dois objetos de apoio que ajudam a manter a estabilidade e a posição das câmeras. É importante destacar que todos os dispositivos de coleta de dados são conectados diretamente ao veículo de cada participante. </w:t>
      </w:r>
    </w:p>
    <w:p w:rsidR="00675D06" w:rsidRPr="0057560A" w:rsidRDefault="0057560A">
      <w:pPr>
        <w:spacing w:line="240" w:lineRule="auto"/>
        <w:jc w:val="both"/>
        <w:rPr>
          <w:color w:val="FF0000"/>
        </w:rPr>
      </w:pPr>
      <w:r w:rsidRPr="0057560A">
        <w:rPr>
          <w:color w:val="FF0000"/>
        </w:rPr>
        <w:t>Cada câmera foi i</w:t>
      </w:r>
      <w:r w:rsidRPr="0057560A">
        <w:rPr>
          <w:color w:val="FF0000"/>
        </w:rPr>
        <w:t>nstalada no interior do veículo, o posicionamento delas teve como objetivo captar o campo de visão do motorista e os elementos viário-ambientais. A câmera 1 foi posicionada de modo a captar imagens externas na frente do veículo. A câmera 2 por sua vez, foi</w:t>
      </w:r>
      <w:r w:rsidRPr="0057560A">
        <w:rPr>
          <w:color w:val="FF0000"/>
        </w:rPr>
        <w:t xml:space="preserve"> instalada no vidro da janela dianteira direita, e direcionada para o interior do veículo. Este posicionamento objetivou captar os movimentos do condutor e o manuseio de pedais, volante e elementos do painel do veículo, assim como objetos. </w:t>
      </w:r>
    </w:p>
    <w:p w:rsidR="00675D06" w:rsidRPr="0057560A" w:rsidRDefault="00675D06">
      <w:pPr>
        <w:spacing w:line="240" w:lineRule="auto"/>
        <w:jc w:val="both"/>
        <w:rPr>
          <w:color w:val="FF0000"/>
        </w:rPr>
      </w:pPr>
    </w:p>
    <w:p w:rsidR="00675D06" w:rsidRPr="0057560A" w:rsidRDefault="0057560A">
      <w:pPr>
        <w:spacing w:line="240" w:lineRule="auto"/>
        <w:jc w:val="both"/>
        <w:rPr>
          <w:color w:val="FF0000"/>
        </w:rPr>
      </w:pPr>
      <w:r w:rsidRPr="0057560A">
        <w:rPr>
          <w:color w:val="FF0000"/>
        </w:rPr>
        <w:t>A Figura 1 ilu</w:t>
      </w:r>
      <w:r w:rsidRPr="0057560A">
        <w:rPr>
          <w:color w:val="FF0000"/>
        </w:rPr>
        <w:t>stra o exposto anteriormente.</w:t>
      </w:r>
    </w:p>
    <w:p w:rsidR="00675D06" w:rsidRDefault="0057560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074403" cy="2833857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403" cy="2833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D06" w:rsidRDefault="0057560A">
      <w:pPr>
        <w:spacing w:line="240" w:lineRule="auto"/>
        <w:jc w:val="both"/>
      </w:pPr>
      <w:r>
        <w:t xml:space="preserve">A obtenção de dados do </w:t>
      </w:r>
      <w:r>
        <w:rPr>
          <w:i/>
        </w:rPr>
        <w:t>NDS-BR</w:t>
      </w:r>
      <w:r>
        <w:t xml:space="preserve"> teve início em agosto de 2019 e estendeu-se até dezembro de 2021. Foram coletadas informações de 32 condutores participantes, os quais aderiram ao estudo por meio de divulgação em redes sociais. A faixa etária dos condutores variou entre 21 e 63 anos, com</w:t>
      </w:r>
      <w:r>
        <w:t xml:space="preserve"> 18 participantes do sexo feminino e 14 do sexo masculino. A experiência </w:t>
      </w:r>
      <w:r>
        <w:lastRenderedPageBreak/>
        <w:t xml:space="preserve">de direção dos participantes variou de 2 a 38 anos, de todos eles 27 residiam em Curitiba, enquanto cinco moravam em cidades vizinhas dentro da Região Metropolitana. </w:t>
      </w:r>
    </w:p>
    <w:p w:rsidR="00675D06" w:rsidRDefault="0057560A">
      <w:pPr>
        <w:spacing w:line="240" w:lineRule="auto"/>
        <w:jc w:val="both"/>
      </w:pPr>
      <w:r>
        <w:t>A duração da col</w:t>
      </w:r>
      <w:r>
        <w:t>eta de dados para cada motorista oscilou entre 5 e 20 dias. O PCDN foi desenvolvido para ser ativado e começar a coletar dados assim que o veículo for ligado. Ao todo, foram realizadas 1.002 viagens, totalizando 381,45 horas de direção e uma distância perc</w:t>
      </w:r>
      <w:r>
        <w:t>orrida de 9.443,83 km.</w:t>
      </w:r>
    </w:p>
    <w:p w:rsidR="00675D06" w:rsidRDefault="0057560A">
      <w:pPr>
        <w:spacing w:after="0" w:line="240" w:lineRule="auto"/>
        <w:jc w:val="both"/>
      </w:pPr>
      <w:r w:rsidRPr="0057560A">
        <w:rPr>
          <w:color w:val="FF0000"/>
        </w:rPr>
        <w:t>A coleta de dados inclui a gravação de vídeos do condutor, capturando a perspectiva interna e externa do veículo, além do uso de um receptor GPS para obter informações geográficas. O receptor GPS registra latitude, longitude, data, h</w:t>
      </w:r>
      <w:r w:rsidRPr="0057560A">
        <w:rPr>
          <w:color w:val="FF0000"/>
        </w:rPr>
        <w:t xml:space="preserve">ora e velocidade instantânea em milhas por hora. Um script em Python foi utilizado para converter os dados do GPS, ajustando o fuso horário e a formatação dos dados, além de converter a velocidade do veículo para quilômetros por hora. </w:t>
      </w:r>
      <w:r>
        <w:t>Após os ajustes, os d</w:t>
      </w:r>
      <w:r>
        <w:t xml:space="preserve">ados foram agregados em uma única planilha, codificados por condutor e viagem, com registros a cada segundo, facilitando a visualização e análise dos dados, especialmente em relação à velocidade. </w:t>
      </w:r>
    </w:p>
    <w:p w:rsidR="00675D06" w:rsidRDefault="00675D06">
      <w:pPr>
        <w:spacing w:line="240" w:lineRule="auto"/>
        <w:jc w:val="both"/>
      </w:pPr>
    </w:p>
    <w:p w:rsidR="00675D06" w:rsidRDefault="0057560A">
      <w:pPr>
        <w:spacing w:line="240" w:lineRule="auto"/>
        <w:jc w:val="both"/>
        <w:rPr>
          <w:b/>
        </w:rPr>
      </w:pPr>
      <w:r>
        <w:rPr>
          <w:b/>
        </w:rPr>
        <w:t>3.2  Dados de renda e indicadores</w:t>
      </w:r>
    </w:p>
    <w:p w:rsidR="00675D06" w:rsidRDefault="0057560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jc w:val="both"/>
        <w:rPr>
          <w:b/>
        </w:rPr>
      </w:pPr>
      <w:r>
        <w:rPr>
          <w:color w:val="0D0D0D"/>
        </w:rPr>
        <w:t>A cidade de Curitiba, co</w:t>
      </w:r>
      <w:r>
        <w:rPr>
          <w:color w:val="0D0D0D"/>
        </w:rPr>
        <w:t>mo muitas outras metrópoles, demonstra uma grande amplitude de níveis de renda, evidenciando uma diversidade socioeconômica entre suas distintas regiões e os bairros. Nesse contexto, faz-se presente analisar a incidência de comportamentos de direção insegu</w:t>
      </w:r>
      <w:r>
        <w:rPr>
          <w:color w:val="0D0D0D"/>
        </w:rPr>
        <w:t>ros correlacionados aos padrões de renda de cada localidade e à infraestrutura viária local, visando compreender os diversos elementos que influenciam na segurança do trânsito. A análise abordará não apenas a qualidade das vias, mas também como essa qualid</w:t>
      </w:r>
      <w:r>
        <w:rPr>
          <w:color w:val="0D0D0D"/>
        </w:rPr>
        <w:t xml:space="preserve">ade afeta os índices de segurança viária, incluindo os riscos associados ao excesso de velocidade. Diante disso, buscou-se dados relacionados a renda per capita e o tipo de pavimento no município para fazer a análise. </w:t>
      </w:r>
    </w:p>
    <w:p w:rsidR="00675D06" w:rsidRDefault="0057560A">
      <w:pPr>
        <w:spacing w:line="240" w:lineRule="auto"/>
        <w:jc w:val="both"/>
      </w:pPr>
      <w:r>
        <w:t>Este estudo utilizou dados sobre os n</w:t>
      </w:r>
      <w:r>
        <w:t xml:space="preserve">íveis socioeconômicos existentes em Curitiba registrados no censo demográfico de 2010, realizado pelo </w:t>
      </w:r>
      <w:r>
        <w:rPr>
          <w:color w:val="000000"/>
        </w:rPr>
        <w:t xml:space="preserve">(IBGE, 2010). </w:t>
      </w:r>
      <w:r>
        <w:rPr>
          <w:color w:val="000000"/>
          <w:highlight w:val="white"/>
        </w:rPr>
        <w:t>Nesses dados foi possível verificar a qualificação dos níveis socioeconômicos de acordo com os domicílios particulares permanentes, por clas</w:t>
      </w:r>
      <w:r>
        <w:rPr>
          <w:color w:val="000000"/>
          <w:highlight w:val="white"/>
        </w:rPr>
        <w:t xml:space="preserve">ses de rendimento nominal mensal domiciliar, per capita </w:t>
      </w:r>
      <w:r>
        <w:rPr>
          <w:highlight w:val="white"/>
        </w:rPr>
        <w:t>em salários</w:t>
      </w:r>
      <w:r>
        <w:rPr>
          <w:color w:val="000000"/>
          <w:highlight w:val="white"/>
        </w:rPr>
        <w:t xml:space="preserve"> mínimos na cidade de acordo com o </w:t>
      </w:r>
      <w:r>
        <w:rPr>
          <w:color w:val="000000"/>
        </w:rPr>
        <w:t>(IPPUC, 2015b)</w:t>
      </w:r>
      <w:r>
        <w:t xml:space="preserve"> conforme demonstrado na Figura 2. Vale ressaltar que o salário mínimo em 2010 era de R$510,00.</w:t>
      </w:r>
    </w:p>
    <w:p w:rsidR="00675D06" w:rsidRDefault="0057560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800381" cy="522015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3119" r="89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0381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D06" w:rsidRDefault="0057560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A cidade conta com quase 2 milhões de habi</w:t>
      </w:r>
      <w:r>
        <w:rPr>
          <w:color w:val="0D0D0D"/>
          <w:highlight w:val="white"/>
        </w:rPr>
        <w:t>tantes, distribuídos em 75 bairros, e, de acordo com o IPPUC (2010), possui 1.151.718 domicílios particulares permanentes. Os dados disponíveis são tabulados em domicílios particulares permanentes por classes de rendimento domiciliar per capita para cada b</w:t>
      </w:r>
      <w:r>
        <w:rPr>
          <w:color w:val="0D0D0D"/>
          <w:highlight w:val="white"/>
        </w:rPr>
        <w:t xml:space="preserve">airro, variando de sem rendimento até mais de 5 salários </w:t>
      </w:r>
      <w:r>
        <w:rPr>
          <w:color w:val="0D0D0D"/>
          <w:highlight w:val="white"/>
        </w:rPr>
        <w:lastRenderedPageBreak/>
        <w:t>mínimos. Esses dados foram utilizados para calcular os indicadores de porcentagem de domicílios com renda maior que 2, 3 e 5 salários mínimos.</w:t>
      </w:r>
    </w:p>
    <w:p w:rsidR="00675D06" w:rsidRDefault="0057560A">
      <w:pPr>
        <w:spacing w:line="240" w:lineRule="auto"/>
        <w:jc w:val="both"/>
        <w:rPr>
          <w:color w:val="0D0D0D"/>
          <w:highlight w:val="white"/>
        </w:rPr>
      </w:pPr>
      <w:r>
        <w:t>Além dos níveis de renda, foram usados indicadores complementares que abordam a qualidade do pavimento, a densidade de radares de velocidade e a densidade de semáforos, conforme mencionado acima, para melhor atingir o objetivo deste estudo.</w:t>
      </w:r>
    </w:p>
    <w:p w:rsidR="00675D06" w:rsidRDefault="0057560A">
      <w:pPr>
        <w:spacing w:after="0" w:line="240" w:lineRule="auto"/>
        <w:jc w:val="both"/>
      </w:pPr>
      <w:r>
        <w:rPr>
          <w:color w:val="0D0D0D"/>
          <w:highlight w:val="white"/>
        </w:rPr>
        <w:t>Em relação à in</w:t>
      </w:r>
      <w:r>
        <w:rPr>
          <w:color w:val="0D0D0D"/>
          <w:highlight w:val="white"/>
        </w:rPr>
        <w:t>fraestrutura, os dados também foram obtidos do IPPUC, através de um mapa relacionado à pavimentação. Os tipos de pavimentação representados no mapa incluem pavimentação alternativa, asfalto, bloco de concreto, calçadão, concreto, paralelepípedo, pedra irre</w:t>
      </w:r>
      <w:r>
        <w:rPr>
          <w:color w:val="0D0D0D"/>
          <w:highlight w:val="white"/>
        </w:rPr>
        <w:t>gular, saibro, TSB e TSB recape, como mostrados na Tabela1. Com base no tipo de pavimentação em cada região, juntamente com os dados de renda, é possível analisar a concentração de investimentos em infraestrutura e identificar as áreas que carecem desses i</w:t>
      </w:r>
      <w:r>
        <w:rPr>
          <w:color w:val="0D0D0D"/>
          <w:highlight w:val="white"/>
        </w:rPr>
        <w:t>nvestimentos.</w:t>
      </w:r>
    </w:p>
    <w:p w:rsidR="00675D06" w:rsidRDefault="00675D06">
      <w:pPr>
        <w:spacing w:line="240" w:lineRule="auto"/>
        <w:jc w:val="center"/>
      </w:pPr>
    </w:p>
    <w:p w:rsidR="00675D06" w:rsidRDefault="0057560A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1.</w:t>
      </w:r>
      <w:r>
        <w:rPr>
          <w:sz w:val="20"/>
          <w:szCs w:val="20"/>
        </w:rPr>
        <w:t xml:space="preserve"> Classificação de pavimentação</w:t>
      </w:r>
    </w:p>
    <w:tbl>
      <w:tblPr>
        <w:tblStyle w:val="a"/>
        <w:tblW w:w="5805" w:type="dxa"/>
        <w:jc w:val="center"/>
        <w:tblBorders>
          <w:top w:val="single" w:sz="4" w:space="0" w:color="666666"/>
          <w:left w:val="single" w:sz="4" w:space="0" w:color="000000"/>
          <w:bottom w:val="single" w:sz="4" w:space="0" w:color="666666"/>
          <w:right w:val="single" w:sz="4" w:space="0" w:color="000000"/>
          <w:insideH w:val="single" w:sz="4" w:space="0" w:color="666666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3180"/>
        <w:gridCol w:w="2625"/>
      </w:tblGrid>
      <w:tr w:rsidR="00675D06" w:rsidTr="00675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TIPO</w:t>
            </w:r>
          </w:p>
        </w:tc>
      </w:tr>
      <w:tr w:rsidR="00675D06" w:rsidTr="00675D06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ASFALTO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asfalto</w:t>
            </w:r>
          </w:p>
        </w:tc>
      </w:tr>
      <w:tr w:rsidR="00675D06" w:rsidTr="00675D0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CONCRETO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concreto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bloco de concreto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calçadão</w:t>
            </w:r>
          </w:p>
        </w:tc>
      </w:tr>
      <w:tr w:rsidR="00675D06" w:rsidTr="00675D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PAVIMENTAÇÃO ALTERNATIVA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alternativo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tsb recape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tsb</w:t>
            </w:r>
          </w:p>
        </w:tc>
      </w:tr>
      <w:tr w:rsidR="00675D06" w:rsidTr="00675D0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PEDRA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paralelepípedo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pedra irregular</w:t>
            </w:r>
          </w:p>
        </w:tc>
      </w:tr>
      <w:tr w:rsidR="00675D06" w:rsidTr="00675D06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Align w:val="center"/>
          </w:tcPr>
          <w:p w:rsidR="00675D06" w:rsidRDefault="005756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SAIBRO</w:t>
            </w:r>
          </w:p>
        </w:tc>
        <w:tc>
          <w:tcPr>
            <w:tcW w:w="2625" w:type="dxa"/>
            <w:vAlign w:val="center"/>
          </w:tcPr>
          <w:p w:rsidR="00675D06" w:rsidRDefault="00575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Saibro</w:t>
            </w:r>
          </w:p>
        </w:tc>
      </w:tr>
    </w:tbl>
    <w:p w:rsidR="00675D06" w:rsidRDefault="0057560A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Fonte. </w:t>
      </w:r>
      <w:r>
        <w:rPr>
          <w:color w:val="FF0000"/>
          <w:sz w:val="20"/>
          <w:szCs w:val="20"/>
        </w:rPr>
        <w:t>IPPUC, 2022</w:t>
      </w:r>
    </w:p>
    <w:p w:rsidR="00675D06" w:rsidRDefault="0057560A">
      <w:pPr>
        <w:spacing w:line="240" w:lineRule="auto"/>
        <w:jc w:val="both"/>
        <w:rPr>
          <w:color w:val="FF0000"/>
        </w:rPr>
      </w:pPr>
      <w:r>
        <w:rPr>
          <w:color w:val="FF0000"/>
        </w:rPr>
        <w:t>Densidad de Radares......</w:t>
      </w:r>
    </w:p>
    <w:p w:rsidR="00675D06" w:rsidRDefault="0057560A">
      <w:pPr>
        <w:spacing w:line="240" w:lineRule="auto"/>
        <w:jc w:val="both"/>
        <w:rPr>
          <w:color w:val="FF0000"/>
        </w:rPr>
      </w:pPr>
      <w:r>
        <w:rPr>
          <w:color w:val="FF0000"/>
        </w:rPr>
        <w:t>Densidad de semáforos.......</w:t>
      </w:r>
    </w:p>
    <w:p w:rsidR="00675D06" w:rsidRDefault="00675D06">
      <w:pPr>
        <w:spacing w:line="240" w:lineRule="auto"/>
        <w:jc w:val="both"/>
      </w:pPr>
    </w:p>
    <w:p w:rsidR="00675D06" w:rsidRDefault="0057560A">
      <w:pPr>
        <w:spacing w:line="240" w:lineRule="auto"/>
        <w:jc w:val="both"/>
        <w:rPr>
          <w:b/>
          <w:highlight w:val="yellow"/>
        </w:rPr>
      </w:pPr>
      <w:r>
        <w:rPr>
          <w:b/>
        </w:rPr>
        <w:t xml:space="preserve">3.3  Cálculo dos indicadores e análise espacial dos dados </w:t>
      </w:r>
    </w:p>
    <w:p w:rsidR="00675D06" w:rsidRDefault="0057560A">
      <w:pPr>
        <w:spacing w:after="0"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Os dados de pavimentação consistem em informações espaciais de geometria linear, que seguem a configuração da via. Por outro lado, os dados de velocidade são representados por geometria pontual, indicando as coordenadas para cada segundo de uma viagem de u</w:t>
      </w:r>
      <w:r>
        <w:rPr>
          <w:color w:val="0D0D0D"/>
          <w:highlight w:val="white"/>
        </w:rPr>
        <w:t>m condutor. Para correlacionar os dados de pavimentação com os dados de velocidade, utilizou-se o software QGIS, uma multiplataforma de sistemas de informações geográficas georreferenciadas. Assim, foram criados buffers que acompanham o lado direito e esqu</w:t>
      </w:r>
      <w:r>
        <w:rPr>
          <w:color w:val="0D0D0D"/>
          <w:highlight w:val="white"/>
        </w:rPr>
        <w:t>erdo da via, cada um com 10 metros de largura. Em seguida, utilizando ferramentas de banco de dados e programação, uma nova tabela de atributos foi gerada. Essa tabela relaciona cada ponto de velocidade com seus atributos originais, além do tipo de pavimen</w:t>
      </w:r>
      <w:r>
        <w:rPr>
          <w:color w:val="0D0D0D"/>
          <w:highlight w:val="white"/>
        </w:rPr>
        <w:t>tação com o qual o ponto intersectam no buffer linear.</w:t>
      </w:r>
    </w:p>
    <w:p w:rsidR="00675D06" w:rsidRDefault="00675D06">
      <w:pPr>
        <w:spacing w:after="0" w:line="240" w:lineRule="auto"/>
        <w:jc w:val="both"/>
        <w:rPr>
          <w:color w:val="0D0D0D"/>
          <w:highlight w:val="white"/>
        </w:rPr>
      </w:pPr>
    </w:p>
    <w:p w:rsidR="00675D06" w:rsidRDefault="0057560A">
      <w:pPr>
        <w:spacing w:after="0"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Desse modo, com esses dados, foi possível calcular dois tipos principais de indicadores relacionados ao tempo e suas variações. O primeiro tipo refere-se ao percentual do tempo percorrido em faixas de</w:t>
      </w:r>
      <w:r>
        <w:rPr>
          <w:color w:val="0D0D0D"/>
          <w:highlight w:val="white"/>
        </w:rPr>
        <w:t xml:space="preserve"> velocidade acima de 40 (V1), 50 (V2) e 60 (V3) km/h. O segundo </w:t>
      </w:r>
      <w:r>
        <w:rPr>
          <w:color w:val="0D0D0D"/>
          <w:highlight w:val="white"/>
        </w:rPr>
        <w:lastRenderedPageBreak/>
        <w:t>indicador é o percentual do tempo percorrido sob asfalto, bloco ou concreto (P1), consideradas as pavimentações de maior qualidade, e o percentual do tempo percorrido sob pavimento alternativo</w:t>
      </w:r>
      <w:r>
        <w:rPr>
          <w:color w:val="0D0D0D"/>
          <w:highlight w:val="white"/>
        </w:rPr>
        <w:t xml:space="preserve">, asfalto, bloco e concreto (P2), que também pode ser considerado uma pavimentação de qualidade em comparação com os outros tipos mencionados anteriormente na coleta de dados. </w:t>
      </w:r>
    </w:p>
    <w:p w:rsidR="00675D06" w:rsidRDefault="00675D06">
      <w:pPr>
        <w:spacing w:after="0" w:line="240" w:lineRule="auto"/>
        <w:jc w:val="both"/>
        <w:rPr>
          <w:color w:val="0D0D0D"/>
          <w:highlight w:val="white"/>
        </w:rPr>
      </w:pPr>
    </w:p>
    <w:p w:rsidR="00675D06" w:rsidRDefault="0057560A">
      <w:pPr>
        <w:spacing w:after="0" w:line="240" w:lineRule="auto"/>
        <w:jc w:val="both"/>
        <w:rPr>
          <w:color w:val="0D0D0D"/>
          <w:highlight w:val="white"/>
        </w:rPr>
      </w:pPr>
      <w:r>
        <w:rPr>
          <w:color w:val="0D0D0D"/>
          <w:highlight w:val="white"/>
        </w:rPr>
        <w:t>Em relação à renda, foram calculados três indicadores: o percentual de domicíl</w:t>
      </w:r>
      <w:r>
        <w:rPr>
          <w:color w:val="0D0D0D"/>
          <w:highlight w:val="white"/>
        </w:rPr>
        <w:t>ios com renda superior a 2 salários mínimos (R1), a 3 salários mínimos (R2) e a mais de 5 salários mínimos (R3). Uma vez que os dados já foram coletados na forma de tabela, não foi necessário realizar ajustes adicionais para o cálculo dos indicadores no so</w:t>
      </w:r>
      <w:r>
        <w:rPr>
          <w:color w:val="0D0D0D"/>
          <w:highlight w:val="white"/>
        </w:rPr>
        <w:t>ftware geoespacial. Como esses dados de renda estavam desagregados por bairro, os demais indicadores de velocidade e pavimentação também foram calculados considerando essa mesma desagregação por bairro, permitindo assim fazer análises de correlação entre e</w:t>
      </w:r>
      <w:r>
        <w:rPr>
          <w:color w:val="0D0D0D"/>
          <w:highlight w:val="white"/>
        </w:rPr>
        <w:t>les.</w:t>
      </w:r>
    </w:p>
    <w:p w:rsidR="00675D06" w:rsidRDefault="00675D06">
      <w:pPr>
        <w:spacing w:after="0" w:line="240" w:lineRule="auto"/>
        <w:jc w:val="both"/>
        <w:rPr>
          <w:b/>
        </w:rPr>
      </w:pPr>
    </w:p>
    <w:p w:rsidR="00675D06" w:rsidRDefault="00675D06">
      <w:pPr>
        <w:spacing w:line="240" w:lineRule="auto"/>
        <w:jc w:val="both"/>
        <w:rPr>
          <w:color w:val="000000"/>
        </w:rPr>
      </w:pPr>
    </w:p>
    <w:p w:rsidR="00675D06" w:rsidRDefault="00675D06">
      <w:pPr>
        <w:spacing w:line="240" w:lineRule="auto"/>
        <w:jc w:val="both"/>
        <w:rPr>
          <w:color w:val="000000"/>
        </w:rPr>
      </w:pPr>
    </w:p>
    <w:tbl>
      <w:tblPr>
        <w:tblStyle w:val="a0"/>
        <w:tblW w:w="8880" w:type="dxa"/>
        <w:tblBorders>
          <w:top w:val="single" w:sz="4" w:space="0" w:color="666666"/>
          <w:left w:val="single" w:sz="4" w:space="0" w:color="000000"/>
          <w:bottom w:val="single" w:sz="4" w:space="0" w:color="666666"/>
          <w:right w:val="single" w:sz="4" w:space="0" w:color="000000"/>
          <w:insideH w:val="single" w:sz="4" w:space="0" w:color="666666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833"/>
        <w:gridCol w:w="833"/>
        <w:gridCol w:w="833"/>
        <w:gridCol w:w="1895"/>
        <w:gridCol w:w="833"/>
        <w:gridCol w:w="833"/>
        <w:gridCol w:w="840"/>
      </w:tblGrid>
      <w:tr w:rsidR="00675D06">
        <w:tc>
          <w:tcPr>
            <w:tcW w:w="1980" w:type="dxa"/>
            <w:vMerge w:val="restart"/>
            <w:vAlign w:val="center"/>
          </w:tcPr>
          <w:p w:rsidR="00675D06" w:rsidRDefault="0057560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Barrio</w:t>
            </w:r>
          </w:p>
        </w:tc>
        <w:tc>
          <w:tcPr>
            <w:tcW w:w="2499" w:type="dxa"/>
            <w:gridSpan w:val="3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Indicadores</w:t>
            </w:r>
          </w:p>
        </w:tc>
        <w:tc>
          <w:tcPr>
            <w:tcW w:w="1895" w:type="dxa"/>
            <w:vMerge w:val="restart"/>
            <w:vAlign w:val="center"/>
          </w:tcPr>
          <w:p w:rsidR="00675D06" w:rsidRDefault="0057560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Barrio</w:t>
            </w:r>
          </w:p>
        </w:tc>
        <w:tc>
          <w:tcPr>
            <w:tcW w:w="2506" w:type="dxa"/>
            <w:gridSpan w:val="3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Indicadores</w:t>
            </w:r>
          </w:p>
        </w:tc>
      </w:tr>
      <w:tr w:rsidR="00675D06">
        <w:tc>
          <w:tcPr>
            <w:tcW w:w="1980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I1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I2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I3</w:t>
            </w:r>
          </w:p>
        </w:tc>
        <w:tc>
          <w:tcPr>
            <w:tcW w:w="1895" w:type="dxa"/>
            <w:vMerge/>
            <w:vAlign w:val="center"/>
          </w:tcPr>
          <w:p w:rsidR="00675D06" w:rsidRDefault="0067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I1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I2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I3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Abranches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32,12%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19,06%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8,26%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Hugo Lange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75,11%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63,05%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41,32%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Água Verde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79,01%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65,54%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42,78%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Jardim Botânico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61,12%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45,58%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24,23%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Ahú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74,32%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62,45%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40,59%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Jardim das Américas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68,49%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50,44%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26,12%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Alto Boqueirão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24,64%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10,44%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2,46%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Jardim Social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79,15%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68,81%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47,29%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Alto da Glória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82,40%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69,84%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45,99%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Juvevê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80,59%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68,91%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47,75%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Alto da Rua XV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77,51%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63,68%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40,62%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Lamenha Pequena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11,65%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5,52%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1,84%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Atuba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37,08%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21,53%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8,42%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Lindóia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29,24%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14,80%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4,87%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15,06%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2,23%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Mercês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64,36%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49,18%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29,18%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Bacacheri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69,52%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51,54%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27,50%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Mossunguê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71,31%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60,67%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44,92%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Bairro Alto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34,79%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18,82%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 Mundo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41,50%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24,85%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9,62%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Barreirinha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36,44%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20,49%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7,81%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Orleans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39,59%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24,54%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10,86%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Batel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76,90%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69,56%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54,48%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Parolin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35,69%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24,45%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12,21%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Bigorrilho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82,14%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71,95%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51,02%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Pilarzinho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36,68%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23,21%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10,64%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Boa Vista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51,45%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34,06%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16,18%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Pinheirinho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22,15%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9,95%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2,76%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 Retiro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62,75%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46,57%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26,66%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Portão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62,55%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45,00%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22,46%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Boqueirão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34,82%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18,54%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6,26%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Prado Velho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17,27%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9,22%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3,34%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Butiatuvinha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30,52%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18,73%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9,77%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Rebouças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67,56%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50,90%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28,84%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Cabral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81,30%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70,80%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50,45%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Riviera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14,28%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6,59%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1,10%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Cachoeira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19,39%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8,58%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2,57%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Santa Cândida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30,31%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16,58%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5,89%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Cajuru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23,49%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11,66%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3,83%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Santa Felicidade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46,06%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31,10%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16,05%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Campina do Siqueira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65,41%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49,05%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29,98%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Santa Quitéria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44,74%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29,59%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13,64%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Campo Comprido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46,60%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30,77%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16,85%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Santo Inácio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46,87%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31,85%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17,57%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Campo de Santana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9,31%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0,51%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São Braz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37,49%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22,91%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11,09%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Capão da Imbuia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40,56%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23,28%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8,81%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São Francisco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69,47%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51,03%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28,71%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Capão Raso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35,95%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19,84%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São João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35,75%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23,57%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14,68%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Cascatinha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56,47%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42,06%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25,47%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São Lourenço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65,88%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51,24%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30,91%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Caximba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7,22%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2,22%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0,97%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São Miguel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7,70%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2,81%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69,33%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53,58%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32,52%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Seminário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73,83%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59,45%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39,37%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Centro Cívico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83,07%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69,76%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46,36%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Sítio Cercado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15,76%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5,34%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1,12%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Cidade Industrial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18,70%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7,45%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1,99%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Taboão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40,91%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26,74%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13,82%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Cristo Rei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80,43%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65,83%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41,60%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Tarumã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64,31%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47,77%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26,28%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Fanny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42,04%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23,92%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7,66%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Tatuquara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8,13%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2,21%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0,44%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Fazendinha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29,93%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14,96%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4,16%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Tingui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46,16%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29,29%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11,68%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Ganchinho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8,51%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3,04%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0,62%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Uberaba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30,30%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17,97%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7,83%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Guabirotuba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55,88%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39,31%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19,91%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Umbará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15,76%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5,90%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1,81%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Guaíra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39,59%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23,48%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9,39%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Vila Izabel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72,39%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57,80%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34,76%</w:t>
            </w:r>
          </w:p>
        </w:tc>
      </w:tr>
      <w:tr w:rsidR="00675D06">
        <w:trPr>
          <w:trHeight w:val="288"/>
        </w:trPr>
        <w:tc>
          <w:tcPr>
            <w:tcW w:w="198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Hauer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45,26%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27,33%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11,24%</w:t>
            </w: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Vista Alegre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54,38%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40,35%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22,93%</w:t>
            </w:r>
          </w:p>
        </w:tc>
      </w:tr>
      <w:tr w:rsidR="00675D06">
        <w:trPr>
          <w:trHeight w:val="288"/>
        </w:trPr>
        <w:tc>
          <w:tcPr>
            <w:tcW w:w="4479" w:type="dxa"/>
            <w:gridSpan w:val="4"/>
            <w:vAlign w:val="center"/>
          </w:tcPr>
          <w:p w:rsidR="00675D06" w:rsidRDefault="00675D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Xaxim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30,11%</w:t>
            </w:r>
          </w:p>
        </w:tc>
        <w:tc>
          <w:tcPr>
            <w:tcW w:w="833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15,19%</w:t>
            </w:r>
          </w:p>
        </w:tc>
        <w:tc>
          <w:tcPr>
            <w:tcW w:w="840" w:type="dxa"/>
            <w:vAlign w:val="center"/>
          </w:tcPr>
          <w:p w:rsidR="00675D06" w:rsidRDefault="0057560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4,96%</w:t>
            </w:r>
          </w:p>
        </w:tc>
      </w:tr>
    </w:tbl>
    <w:p w:rsidR="00675D06" w:rsidRDefault="00675D06">
      <w:pPr>
        <w:spacing w:line="240" w:lineRule="auto"/>
        <w:jc w:val="both"/>
        <w:rPr>
          <w:b/>
        </w:rPr>
      </w:pPr>
    </w:p>
    <w:p w:rsidR="00675D06" w:rsidRDefault="0057560A">
      <w:pPr>
        <w:spacing w:line="240" w:lineRule="auto"/>
        <w:rPr>
          <w:b/>
        </w:rPr>
      </w:pPr>
      <w:r>
        <w:rPr>
          <w:b/>
        </w:rPr>
        <w:t xml:space="preserve">4.4  Análise de correlações e testes de hipóteses </w:t>
      </w:r>
      <w:r>
        <w:rPr>
          <w:b/>
          <w:highlight w:val="yellow"/>
        </w:rPr>
        <w:t>(Tiago)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—---------------------------------------------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V1: Percentual do tempo percorrido acima de 40 km/h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 xml:space="preserve">- V2: </w:t>
      </w:r>
      <w:bookmarkStart w:id="0" w:name="_GoBack"/>
      <w:r>
        <w:rPr>
          <w:b/>
        </w:rPr>
        <w:t>Percentual do tempo percorrido acima de 50 km/h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V3: Percentual do tempo percorrido acima de 60 km/h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P1: Percentual do tempo percorrido sob asfalt</w:t>
      </w:r>
      <w:r>
        <w:rPr>
          <w:b/>
        </w:rPr>
        <w:t>o, bloco ou concreto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P2: Percentual do tempo percorrido sob pavimento alternativo, asfalto, bloco e concreto</w:t>
      </w:r>
    </w:p>
    <w:bookmarkEnd w:id="0"/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R1: Percentual de domicílios com renda maior que 2 salários mínimos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R2: Percentual de domicílios com renda maior que 3 salários mínimos</w:t>
      </w:r>
    </w:p>
    <w:p w:rsidR="00675D06" w:rsidRDefault="0057560A">
      <w:pPr>
        <w:spacing w:after="0" w:line="240" w:lineRule="auto"/>
        <w:jc w:val="both"/>
        <w:rPr>
          <w:b/>
        </w:rPr>
      </w:pPr>
      <w:r>
        <w:rPr>
          <w:b/>
        </w:rPr>
        <w:t>- R3:</w:t>
      </w:r>
      <w:r>
        <w:rPr>
          <w:b/>
        </w:rPr>
        <w:t xml:space="preserve"> Percentual de domicílios com renda maior que 5 salários mínimos</w:t>
      </w:r>
    </w:p>
    <w:p w:rsidR="00675D06" w:rsidRDefault="00675D06">
      <w:pPr>
        <w:spacing w:line="240" w:lineRule="auto"/>
        <w:rPr>
          <w:b/>
        </w:rPr>
      </w:pPr>
    </w:p>
    <w:p w:rsidR="00675D06" w:rsidRDefault="0057560A">
      <w:pPr>
        <w:spacing w:line="240" w:lineRule="auto"/>
        <w:rPr>
          <w:b/>
        </w:rPr>
      </w:pPr>
      <w:r>
        <w:rPr>
          <w:b/>
        </w:rPr>
        <w:t>5  RESULTADOS</w:t>
      </w:r>
    </w:p>
    <w:p w:rsidR="00675D06" w:rsidRDefault="0057560A">
      <w:pPr>
        <w:spacing w:line="240" w:lineRule="auto"/>
        <w:rPr>
          <w:b/>
        </w:rPr>
      </w:pPr>
      <w:r>
        <w:rPr>
          <w:b/>
        </w:rPr>
        <w:t>6  CONCLUSÕES</w:t>
      </w:r>
    </w:p>
    <w:p w:rsidR="00675D06" w:rsidRDefault="0057560A">
      <w:pPr>
        <w:spacing w:line="240" w:lineRule="auto"/>
        <w:rPr>
          <w:b/>
        </w:rPr>
      </w:pPr>
      <w:r>
        <w:rPr>
          <w:b/>
        </w:rPr>
        <w:t>7  REFERÊNCIAS</w:t>
      </w:r>
    </w:p>
    <w:p w:rsidR="00675D06" w:rsidRDefault="0057560A">
      <w:pPr>
        <w:ind w:hanging="480"/>
      </w:pPr>
      <w:r>
        <w:t>Bittencourt, T.A., Faria, J.R.V. de, 2021. Distribuição de investimentos públicos, infraestrutura urbana e desigualdade socioespacial em Curitiba. urbe. Revista Brasileira de Gestão Urbana 13. https://doi.org/10.1590/2175-3369.013.e20190300</w:t>
      </w:r>
    </w:p>
    <w:p w:rsidR="00675D06" w:rsidRPr="0057560A" w:rsidRDefault="0057560A">
      <w:pPr>
        <w:ind w:hanging="480"/>
        <w:rPr>
          <w:lang w:val="en-US"/>
        </w:rPr>
      </w:pPr>
      <w:r>
        <w:t>Bogdan, S.R., H</w:t>
      </w:r>
      <w:r>
        <w:t xml:space="preserve">avârneanu, G.M., Havârneanu, C.E., 2014. </w:t>
      </w:r>
      <w:r w:rsidRPr="0057560A">
        <w:rPr>
          <w:lang w:val="en-US"/>
        </w:rPr>
        <w:t xml:space="preserve">Contextual Determinants of Speeding: Time Pressure and Police Control in Urban and Non-urban Areas. Procedia Soc </w:t>
      </w:r>
      <w:proofErr w:type="spellStart"/>
      <w:r w:rsidRPr="0057560A">
        <w:rPr>
          <w:lang w:val="en-US"/>
        </w:rPr>
        <w:t>Behav</w:t>
      </w:r>
      <w:proofErr w:type="spellEnd"/>
      <w:r w:rsidRPr="0057560A">
        <w:rPr>
          <w:lang w:val="en-US"/>
        </w:rPr>
        <w:t xml:space="preserve"> Sci 127, 581–585. https://doi.org/10.1016/j.sbspro.2014.03.314</w:t>
      </w:r>
    </w:p>
    <w:p w:rsidR="00675D06" w:rsidRPr="0057560A" w:rsidRDefault="0057560A">
      <w:pPr>
        <w:ind w:hanging="480"/>
        <w:rPr>
          <w:lang w:val="en-US"/>
        </w:rPr>
      </w:pPr>
      <w:proofErr w:type="spellStart"/>
      <w:r w:rsidRPr="0057560A">
        <w:rPr>
          <w:lang w:val="en-US"/>
        </w:rPr>
        <w:t>Dumbaugh</w:t>
      </w:r>
      <w:proofErr w:type="spellEnd"/>
      <w:r w:rsidRPr="0057560A">
        <w:rPr>
          <w:lang w:val="en-US"/>
        </w:rPr>
        <w:t xml:space="preserve">, E., Li, Y., </w:t>
      </w:r>
      <w:proofErr w:type="spellStart"/>
      <w:r w:rsidRPr="0057560A">
        <w:rPr>
          <w:lang w:val="en-US"/>
        </w:rPr>
        <w:t>Saha</w:t>
      </w:r>
      <w:proofErr w:type="spellEnd"/>
      <w:r w:rsidRPr="0057560A">
        <w:rPr>
          <w:lang w:val="en-US"/>
        </w:rPr>
        <w:t>, D., M</w:t>
      </w:r>
      <w:r w:rsidRPr="0057560A">
        <w:rPr>
          <w:lang w:val="en-US"/>
        </w:rPr>
        <w:t xml:space="preserve">arshall, W., 2022. Why do lower-income areas experience worse road safety outcomes? Examining the role of the built environment in Orange County, Florida. </w:t>
      </w:r>
      <w:proofErr w:type="spellStart"/>
      <w:r w:rsidRPr="0057560A">
        <w:rPr>
          <w:lang w:val="en-US"/>
        </w:rPr>
        <w:t>Transp</w:t>
      </w:r>
      <w:proofErr w:type="spellEnd"/>
      <w:r w:rsidRPr="0057560A">
        <w:rPr>
          <w:lang w:val="en-US"/>
        </w:rPr>
        <w:t xml:space="preserve"> Res </w:t>
      </w:r>
      <w:proofErr w:type="spellStart"/>
      <w:r w:rsidRPr="0057560A">
        <w:rPr>
          <w:lang w:val="en-US"/>
        </w:rPr>
        <w:t>Interdiscip</w:t>
      </w:r>
      <w:proofErr w:type="spellEnd"/>
      <w:r w:rsidRPr="0057560A">
        <w:rPr>
          <w:lang w:val="en-US"/>
        </w:rPr>
        <w:t xml:space="preserve"> </w:t>
      </w:r>
      <w:proofErr w:type="spellStart"/>
      <w:r w:rsidRPr="0057560A">
        <w:rPr>
          <w:lang w:val="en-US"/>
        </w:rPr>
        <w:t>Perspect</w:t>
      </w:r>
      <w:proofErr w:type="spellEnd"/>
      <w:r w:rsidRPr="0057560A">
        <w:rPr>
          <w:lang w:val="en-US"/>
        </w:rPr>
        <w:t xml:space="preserve"> 16, 100696. https://doi.org/10.1016/J.TRIP.2022.100696</w:t>
      </w:r>
    </w:p>
    <w:p w:rsidR="00675D06" w:rsidRDefault="0057560A">
      <w:pPr>
        <w:ind w:hanging="480"/>
      </w:pPr>
      <w:r w:rsidRPr="0057560A">
        <w:rPr>
          <w:lang w:val="en-US"/>
        </w:rPr>
        <w:t>Ellison, A.B.,</w:t>
      </w:r>
      <w:r w:rsidRPr="0057560A">
        <w:rPr>
          <w:lang w:val="en-US"/>
        </w:rPr>
        <w:t xml:space="preserve"> Greaves, S.P., 2015. Speeding in urban environments: Are the time savings worth the risk? </w:t>
      </w:r>
      <w:r>
        <w:t>Accid Anal Prev 85, 239–247. https://doi.org/10.1016/J.AAP.2015.09.018</w:t>
      </w:r>
    </w:p>
    <w:p w:rsidR="00675D06" w:rsidRDefault="0057560A">
      <w:pPr>
        <w:ind w:hanging="480"/>
      </w:pPr>
      <w:r>
        <w:t>Gomes, M.J.T.L., Torres, C.A., Oliveira Neto, F.M. de, Cunto, F.J.C., 2015. Análise exploratór</w:t>
      </w:r>
      <w:r>
        <w:t>ia para a modelagem da frequência de acidentes de trânsito agregados ao nível de zonas de tráfego. TRANSPORTES 23, 42. https://doi.org/10.14295/transportes.v23i4.927</w:t>
      </w:r>
    </w:p>
    <w:p w:rsidR="00675D06" w:rsidRDefault="0057560A">
      <w:pPr>
        <w:ind w:hanging="480"/>
      </w:pPr>
      <w:r>
        <w:t>IBGE, 2010. Censo Demográfico 2010.</w:t>
      </w:r>
    </w:p>
    <w:p w:rsidR="00675D06" w:rsidRDefault="0057560A">
      <w:pPr>
        <w:ind w:hanging="480"/>
      </w:pPr>
      <w:r>
        <w:lastRenderedPageBreak/>
        <w:t>IPPUC, 2015a. PERFIL FÍSICO-TERRITORIAL E SOCIOECONÔMI</w:t>
      </w:r>
      <w:r>
        <w:t>CO - 75 BAIRROS DE CURITIBA.</w:t>
      </w:r>
    </w:p>
    <w:p w:rsidR="00675D06" w:rsidRDefault="0057560A">
      <w:pPr>
        <w:ind w:hanging="480"/>
      </w:pPr>
      <w:r>
        <w:t>IPPUC, 2015b. Perfil Físico-Territorial e Socioeconômico - Nossa Curitiba.</w:t>
      </w:r>
    </w:p>
    <w:p w:rsidR="00675D06" w:rsidRPr="0057560A" w:rsidRDefault="0057560A">
      <w:pPr>
        <w:ind w:hanging="480"/>
        <w:rPr>
          <w:lang w:val="en-US"/>
        </w:rPr>
      </w:pPr>
      <w:r w:rsidRPr="0057560A">
        <w:rPr>
          <w:lang w:val="en-US"/>
        </w:rPr>
        <w:t>NHTSA, 2021. Traffic Safety Facts 2021 Data.</w:t>
      </w:r>
    </w:p>
    <w:p w:rsidR="00675D06" w:rsidRPr="0057560A" w:rsidRDefault="0057560A">
      <w:pPr>
        <w:ind w:hanging="480"/>
        <w:rPr>
          <w:lang w:val="en-US"/>
        </w:rPr>
      </w:pPr>
      <w:proofErr w:type="spellStart"/>
      <w:r w:rsidRPr="0057560A">
        <w:rPr>
          <w:lang w:val="en-US"/>
        </w:rPr>
        <w:t>Olmez</w:t>
      </w:r>
      <w:proofErr w:type="spellEnd"/>
      <w:r w:rsidRPr="0057560A">
        <w:rPr>
          <w:lang w:val="en-US"/>
        </w:rPr>
        <w:t xml:space="preserve">, S., Douglas-Mann, L., Manley, E., </w:t>
      </w:r>
      <w:proofErr w:type="spellStart"/>
      <w:r w:rsidRPr="0057560A">
        <w:rPr>
          <w:lang w:val="en-US"/>
        </w:rPr>
        <w:t>Suchak</w:t>
      </w:r>
      <w:proofErr w:type="spellEnd"/>
      <w:r w:rsidRPr="0057560A">
        <w:rPr>
          <w:lang w:val="en-US"/>
        </w:rPr>
        <w:t xml:space="preserve">, K., </w:t>
      </w:r>
      <w:proofErr w:type="spellStart"/>
      <w:r w:rsidRPr="0057560A">
        <w:rPr>
          <w:lang w:val="en-US"/>
        </w:rPr>
        <w:t>Heppenstall</w:t>
      </w:r>
      <w:proofErr w:type="spellEnd"/>
      <w:r w:rsidRPr="0057560A">
        <w:rPr>
          <w:lang w:val="en-US"/>
        </w:rPr>
        <w:t xml:space="preserve">, A., Birks, D., </w:t>
      </w:r>
      <w:proofErr w:type="spellStart"/>
      <w:r w:rsidRPr="0057560A">
        <w:rPr>
          <w:lang w:val="en-US"/>
        </w:rPr>
        <w:t>Whipp</w:t>
      </w:r>
      <w:proofErr w:type="spellEnd"/>
      <w:r w:rsidRPr="0057560A">
        <w:rPr>
          <w:lang w:val="en-US"/>
        </w:rPr>
        <w:t>, A., 2021. Exploring</w:t>
      </w:r>
      <w:r w:rsidRPr="0057560A">
        <w:rPr>
          <w:lang w:val="en-US"/>
        </w:rPr>
        <w:t xml:space="preserve"> the Impact of Driver Adherence to Speed Limits and the Interdependence of Roadside Collisions in an Urban Environment: An Agent-Based Modelling Approach. Applied Sciences 11, 5336. https://doi.org/10.3390/app11125336</w:t>
      </w:r>
    </w:p>
    <w:p w:rsidR="00675D06" w:rsidRPr="0057560A" w:rsidRDefault="0057560A">
      <w:pPr>
        <w:ind w:hanging="480"/>
        <w:rPr>
          <w:lang w:val="en-US"/>
        </w:rPr>
      </w:pPr>
      <w:proofErr w:type="spellStart"/>
      <w:r w:rsidRPr="0057560A">
        <w:rPr>
          <w:lang w:val="en-US"/>
        </w:rPr>
        <w:t>Organização</w:t>
      </w:r>
      <w:proofErr w:type="spellEnd"/>
      <w:r w:rsidRPr="0057560A">
        <w:rPr>
          <w:lang w:val="en-US"/>
        </w:rPr>
        <w:t xml:space="preserve"> Mundial da </w:t>
      </w:r>
      <w:proofErr w:type="spellStart"/>
      <w:r w:rsidRPr="0057560A">
        <w:rPr>
          <w:lang w:val="en-US"/>
        </w:rPr>
        <w:t>Saúde</w:t>
      </w:r>
      <w:proofErr w:type="spellEnd"/>
      <w:r w:rsidRPr="0057560A">
        <w:rPr>
          <w:lang w:val="en-US"/>
        </w:rPr>
        <w:t>, 2023. Gl</w:t>
      </w:r>
      <w:r w:rsidRPr="0057560A">
        <w:rPr>
          <w:lang w:val="en-US"/>
        </w:rPr>
        <w:t>obal status report on road safety 2023.</w:t>
      </w:r>
    </w:p>
    <w:p w:rsidR="00675D06" w:rsidRDefault="0057560A">
      <w:pPr>
        <w:ind w:hanging="480"/>
      </w:pPr>
      <w:r>
        <w:t>Pereira De Andrade, M., Brilhante, Í. da S., Gomes Braga, I.Y. de L., Pereira de Andrade, N., Dias, C., 2020. DIAGNÓSTICO DAS CONDIÇÕES DE INFRAESTRUTURA VIÁRIA DE JOÃO PESSOA-PB COM BASE NO ÍNDICE DE MOBILIDADE URBA</w:t>
      </w:r>
      <w:r>
        <w:t>NA SUSTENTÁVEL.</w:t>
      </w:r>
    </w:p>
    <w:p w:rsidR="00675D06" w:rsidRDefault="0057560A">
      <w:pPr>
        <w:ind w:hanging="480"/>
      </w:pPr>
      <w:r>
        <w:t>Rodrigues Obelheiro, M., Ricardo Silva, A., Tessele Nodari, C., 2019. UMA ANÁLISE DA RELAÇÃO ENTRE AMBIENTE CONSTRUÍDO E ACIDENTES DE TRÂNSITO EM ZONAS DE TRÁFEGO.</w:t>
      </w:r>
    </w:p>
    <w:p w:rsidR="00675D06" w:rsidRDefault="0057560A">
      <w:pPr>
        <w:ind w:hanging="480"/>
      </w:pPr>
      <w:r>
        <w:t>Suguinoshita, M.C., Ribeiro Valeixo, G.R., Borges dos Santos, P.A., Bastos, J.T., 2020. FATORES DETERMINANTES PARA O EXCESSO DE VELOCIDADE EM VIAS ARTERIAIS URBANAS.</w:t>
      </w:r>
    </w:p>
    <w:p w:rsidR="00675D06" w:rsidRPr="0057560A" w:rsidRDefault="0057560A">
      <w:pPr>
        <w:ind w:hanging="480"/>
        <w:rPr>
          <w:lang w:val="en-US"/>
        </w:rPr>
      </w:pPr>
      <w:r w:rsidRPr="0057560A">
        <w:rPr>
          <w:lang w:val="en-US"/>
        </w:rPr>
        <w:t>Sun, L.L., Liu, D., Chen, T., He, M.T., 2019. Road traffic safety: An analysis of the cros</w:t>
      </w:r>
      <w:r w:rsidRPr="0057560A">
        <w:rPr>
          <w:lang w:val="en-US"/>
        </w:rPr>
        <w:t>s-effects of economic, road and population factors. Chinese Journal of Traumatology 22, 290–295. https://doi.org/10.1016/J.CJTEE.2019.07.004</w:t>
      </w:r>
    </w:p>
    <w:p w:rsidR="00675D06" w:rsidRDefault="0057560A">
      <w:pPr>
        <w:ind w:hanging="480"/>
      </w:pPr>
      <w:r w:rsidRPr="0057560A">
        <w:rPr>
          <w:lang w:val="en-US"/>
        </w:rPr>
        <w:t>Wang, C., Xia, Y., Chen, F., Cheng, J., Wang, Z., 2022. Assessment of Two-Vehicle and Multi-Vehicle Freeway Rear-En</w:t>
      </w:r>
      <w:r w:rsidRPr="0057560A">
        <w:rPr>
          <w:lang w:val="en-US"/>
        </w:rPr>
        <w:t xml:space="preserve">d Crashes in China: Accommodating Spatiotemporal Shifts. </w:t>
      </w:r>
      <w:r>
        <w:t>Int J Environ Res Public Health 19, 10282. https://doi.org/10.3390/ijerph191610282</w:t>
      </w:r>
    </w:p>
    <w:p w:rsidR="00675D06" w:rsidRDefault="0057560A">
      <w:pPr>
        <w:spacing w:line="240" w:lineRule="auto"/>
      </w:pPr>
      <w:r>
        <w:t> </w:t>
      </w:r>
    </w:p>
    <w:p w:rsidR="00675D06" w:rsidRDefault="00675D06"/>
    <w:sectPr w:rsidR="00675D06">
      <w:pgSz w:w="11906" w:h="16838"/>
      <w:pgMar w:top="1418" w:right="1418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03DE8"/>
    <w:multiLevelType w:val="multilevel"/>
    <w:tmpl w:val="7A1E5EE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06"/>
    <w:rsid w:val="0057560A"/>
    <w:rsid w:val="006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7ACFA-6CAF-43FC-BD41-AD02C0C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7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71E28"/>
    <w:pPr>
      <w:spacing w:before="100" w:beforeAutospacing="1" w:after="100" w:afterAutospacing="1" w:line="240" w:lineRule="auto"/>
    </w:pPr>
    <w:rPr>
      <w:lang w:val="es-EC" w:eastAsia="es-EC"/>
    </w:rPr>
  </w:style>
  <w:style w:type="character" w:customStyle="1" w:styleId="normaltextrun">
    <w:name w:val="normaltextrun"/>
    <w:basedOn w:val="DefaultParagraphFont"/>
    <w:rsid w:val="00C71E28"/>
  </w:style>
  <w:style w:type="character" w:customStyle="1" w:styleId="eop">
    <w:name w:val="eop"/>
    <w:basedOn w:val="DefaultParagraphFont"/>
    <w:rsid w:val="00C71E28"/>
  </w:style>
  <w:style w:type="character" w:styleId="PlaceholderText">
    <w:name w:val="Placeholder Text"/>
    <w:basedOn w:val="DefaultParagraphFont"/>
    <w:uiPriority w:val="99"/>
    <w:semiHidden/>
    <w:rsid w:val="005F77AA"/>
    <w:rPr>
      <w:color w:val="808080"/>
    </w:rPr>
  </w:style>
  <w:style w:type="character" w:customStyle="1" w:styleId="anchor-text">
    <w:name w:val="anchor-text"/>
    <w:basedOn w:val="DefaultParagraphFont"/>
    <w:rsid w:val="00611EE2"/>
  </w:style>
  <w:style w:type="character" w:styleId="FollowedHyperlink">
    <w:name w:val="FollowedHyperlink"/>
    <w:basedOn w:val="DefaultParagraphFont"/>
    <w:uiPriority w:val="99"/>
    <w:semiHidden/>
    <w:unhideWhenUsed/>
    <w:rsid w:val="00727A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5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F41"/>
  </w:style>
  <w:style w:type="paragraph" w:styleId="Footer">
    <w:name w:val="footer"/>
    <w:basedOn w:val="Normal"/>
    <w:link w:val="FooterChar"/>
    <w:uiPriority w:val="99"/>
    <w:unhideWhenUsed/>
    <w:rsid w:val="00875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F41"/>
  </w:style>
  <w:style w:type="table" w:styleId="ListTable2">
    <w:name w:val="List Table 2"/>
    <w:basedOn w:val="TableNormal"/>
    <w:uiPriority w:val="47"/>
    <w:rsid w:val="00502B1D"/>
    <w:pPr>
      <w:spacing w:after="0" w:line="240" w:lineRule="auto"/>
    </w:pPr>
    <w:rPr>
      <w:rFonts w:asciiTheme="minorHAnsi" w:hAnsiTheme="minorHAnsi" w:cstheme="minorBidi"/>
      <w:sz w:val="22"/>
      <w:szCs w:val="22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9663F"/>
    <w:pPr>
      <w:spacing w:before="100" w:beforeAutospacing="1" w:after="100" w:afterAutospacing="1" w:line="240" w:lineRule="auto"/>
    </w:pPr>
    <w:rPr>
      <w:lang w:val="es-EC" w:eastAsia="es-E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m1/igQlneI0TbBWuvXd5hMmMw==">CgMxLjA4AHIhMTdJa1NTMS1pX2JmRGtVdFZhRHIydXJlT1BqSjNmNXpY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3821</Words>
  <Characters>20635</Characters>
  <Application>Microsoft Office Word</Application>
  <DocSecurity>0</DocSecurity>
  <Lines>171</Lines>
  <Paragraphs>48</Paragraphs>
  <ScaleCrop>false</ScaleCrop>
  <Company/>
  <LinksUpToDate>false</LinksUpToDate>
  <CharactersWithSpaces>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Tiago Bastos</dc:creator>
  <cp:lastModifiedBy>Jorge Tiago Bastos</cp:lastModifiedBy>
  <cp:revision>2</cp:revision>
  <dcterms:created xsi:type="dcterms:W3CDTF">2024-04-22T19:03:00Z</dcterms:created>
  <dcterms:modified xsi:type="dcterms:W3CDTF">2024-04-25T18:25:00Z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0x01010033270C7F360A7F47A1B720549C3E9397</vt:lpwstr>
  </property>
  <property fmtid="{D5CDD505-2E9C-101B-9397-08002B2CF9AE}" pid="3" name="MediaServiceImageTags">
    <vt:lpwstr/>
  </property>
</Properties>
</file>