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31C2" w14:textId="77777777" w:rsidR="0000626D" w:rsidRPr="0000626D" w:rsidRDefault="0000626D" w:rsidP="0000626D">
      <w:pPr>
        <w:rPr>
          <w:rFonts w:ascii="Arial" w:hAnsi="Arial" w:cs="Arial"/>
          <w:b/>
          <w:bCs/>
          <w:sz w:val="24"/>
          <w:szCs w:val="24"/>
        </w:rPr>
      </w:pPr>
      <w:r w:rsidRPr="0000626D">
        <w:rPr>
          <w:rFonts w:ascii="Arial" w:hAnsi="Arial" w:cs="Arial"/>
          <w:b/>
          <w:bCs/>
          <w:sz w:val="24"/>
          <w:szCs w:val="24"/>
        </w:rPr>
        <w:t>actual output: Cluster 1</w:t>
      </w:r>
    </w:p>
    <w:p w14:paraId="5D8C93B3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>Cluster 1 contains 2 local authorities which is 50.00% of UK local authorities, this included 18.44% of the UK population (values are taken for 2021 for EW and NI, but 2022 for Scot, due to times of the census). This cluster has a population density of 1.37 people per hectare.</w:t>
      </w:r>
    </w:p>
    <w:p w14:paraId="750B2B04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The average variance for cluster 1 is </w:t>
      </w:r>
      <w:r w:rsidRPr="00D17E62">
        <w:rPr>
          <w:rFonts w:ascii="Arial" w:hAnsi="Arial" w:cs="Arial"/>
          <w:sz w:val="24"/>
          <w:szCs w:val="24"/>
          <w:highlight w:val="green"/>
        </w:rPr>
        <w:t>0.07</w:t>
      </w:r>
      <w:r w:rsidRPr="0000626D">
        <w:rPr>
          <w:rFonts w:ascii="Arial" w:hAnsi="Arial" w:cs="Arial"/>
          <w:sz w:val="24"/>
          <w:szCs w:val="24"/>
        </w:rPr>
        <w:t>. Example areas: Middlesbrough, Hartlepool</w:t>
      </w:r>
    </w:p>
    <w:p w14:paraId="487E40D3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>Values in the brackets below are the difference between the mean of the variable for this cluster</w:t>
      </w:r>
    </w:p>
    <w:p w14:paraId="2E89A89C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        compared with the mean of the other clusters combined. The population of cluster 1 has a:</w:t>
      </w:r>
    </w:p>
    <w:p w14:paraId="721626DC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>• lower (-0.24) Usual residents per square kilometre. Variance:</w:t>
      </w:r>
      <w:r w:rsidRPr="00D17E62">
        <w:rPr>
          <w:rFonts w:ascii="Arial" w:hAnsi="Arial" w:cs="Arial"/>
          <w:sz w:val="24"/>
          <w:szCs w:val="24"/>
          <w:highlight w:val="green"/>
        </w:rPr>
        <w:t>0.02</w:t>
      </w:r>
      <w:r w:rsidRPr="0000626D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56DDBCFB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E63873">
        <w:rPr>
          <w:rFonts w:ascii="Arial" w:hAnsi="Arial" w:cs="Arial"/>
          <w:sz w:val="24"/>
          <w:szCs w:val="24"/>
          <w:highlight w:val="yellow"/>
        </w:rPr>
        <w:t>• lower (-0.20) proportion of people who live in a communal establishment. Variance:0.00 (Demography and Migration domain)</w:t>
      </w:r>
    </w:p>
    <w:p w14:paraId="13A7DB27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• lower (-0.20) proportion of people who are Never married and never registered a civil partnership. Variance:0.18 (Demography and Migration domain)        </w:t>
      </w:r>
    </w:p>
    <w:p w14:paraId="298F2536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>----------------------------------------</w:t>
      </w:r>
    </w:p>
    <w:p w14:paraId="73934B60" w14:textId="77777777" w:rsidR="0000626D" w:rsidRPr="0000626D" w:rsidRDefault="0000626D" w:rsidP="0000626D">
      <w:pPr>
        <w:rPr>
          <w:rFonts w:ascii="Arial" w:hAnsi="Arial" w:cs="Arial"/>
          <w:b/>
          <w:bCs/>
          <w:sz w:val="24"/>
          <w:szCs w:val="24"/>
        </w:rPr>
      </w:pPr>
      <w:r w:rsidRPr="0000626D">
        <w:rPr>
          <w:rFonts w:ascii="Arial" w:hAnsi="Arial" w:cs="Arial"/>
          <w:b/>
          <w:bCs/>
          <w:sz w:val="24"/>
          <w:szCs w:val="24"/>
        </w:rPr>
        <w:t>Cluster 2</w:t>
      </w:r>
    </w:p>
    <w:p w14:paraId="74BF9C01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>Cluster 2 contains 2 local authorities which is 50.00% of UK local authorities, this included 81.56% of the UK population (values are taken for 2021 for EW and NI, but 2022 for Scot, due to times of the census). This cluster has a population density of 6.06 people per hectare.</w:t>
      </w:r>
    </w:p>
    <w:p w14:paraId="75D0D58F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The average variance for cluster 2 is </w:t>
      </w:r>
      <w:r w:rsidRPr="00D17E62">
        <w:rPr>
          <w:rFonts w:ascii="Arial" w:hAnsi="Arial" w:cs="Arial"/>
          <w:sz w:val="24"/>
          <w:szCs w:val="24"/>
          <w:highlight w:val="green"/>
        </w:rPr>
        <w:t>0.01</w:t>
      </w:r>
      <w:r w:rsidRPr="0000626D">
        <w:rPr>
          <w:rFonts w:ascii="Arial" w:hAnsi="Arial" w:cs="Arial"/>
          <w:sz w:val="24"/>
          <w:szCs w:val="24"/>
        </w:rPr>
        <w:t>. Example areas: Glasgow City, City of Edinburgh</w:t>
      </w:r>
    </w:p>
    <w:p w14:paraId="679DD13F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>Values in the brackets below are the difference between the mean of the variable for this cluster</w:t>
      </w:r>
    </w:p>
    <w:p w14:paraId="2C71594C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        compared with the mean of the other clusters combined. The population of cluster 2 has a:</w:t>
      </w:r>
    </w:p>
    <w:p w14:paraId="137B724F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• higher (0.24) Usual residents per square kilometre. </w:t>
      </w:r>
      <w:r w:rsidRPr="00D17E62">
        <w:rPr>
          <w:rFonts w:ascii="Arial" w:hAnsi="Arial" w:cs="Arial"/>
          <w:sz w:val="24"/>
          <w:szCs w:val="24"/>
          <w:highlight w:val="yellow"/>
        </w:rPr>
        <w:t>Variance:0.00</w:t>
      </w:r>
      <w:r w:rsidRPr="0000626D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01DCEEEF" w14:textId="77777777" w:rsidR="0000626D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t xml:space="preserve">• higher (0.20) proportion of people who live in a communal establishment. </w:t>
      </w:r>
      <w:r w:rsidRPr="00D17E62">
        <w:rPr>
          <w:rFonts w:ascii="Arial" w:hAnsi="Arial" w:cs="Arial"/>
          <w:sz w:val="24"/>
          <w:szCs w:val="24"/>
          <w:highlight w:val="yellow"/>
        </w:rPr>
        <w:t>Variance:0.01</w:t>
      </w:r>
      <w:r w:rsidRPr="0000626D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054E54D4" w14:textId="13C6FD13" w:rsidR="00C85119" w:rsidRPr="0000626D" w:rsidRDefault="0000626D" w:rsidP="0000626D">
      <w:pPr>
        <w:rPr>
          <w:rFonts w:ascii="Arial" w:hAnsi="Arial" w:cs="Arial"/>
          <w:sz w:val="24"/>
          <w:szCs w:val="24"/>
        </w:rPr>
      </w:pPr>
      <w:r w:rsidRPr="0000626D">
        <w:rPr>
          <w:rFonts w:ascii="Arial" w:hAnsi="Arial" w:cs="Arial"/>
          <w:sz w:val="24"/>
          <w:szCs w:val="24"/>
        </w:rPr>
        <w:lastRenderedPageBreak/>
        <w:t xml:space="preserve">• higher (0.20) proportion of people who are Never married and never registered a civil partnership. </w:t>
      </w:r>
      <w:r w:rsidRPr="00D17E62">
        <w:rPr>
          <w:rFonts w:ascii="Arial" w:hAnsi="Arial" w:cs="Arial"/>
          <w:sz w:val="24"/>
          <w:szCs w:val="24"/>
          <w:highlight w:val="yellow"/>
        </w:rPr>
        <w:t>Variance:0.00</w:t>
      </w:r>
      <w:r w:rsidRPr="0000626D">
        <w:rPr>
          <w:rFonts w:ascii="Arial" w:hAnsi="Arial" w:cs="Arial"/>
          <w:sz w:val="24"/>
          <w:szCs w:val="24"/>
        </w:rPr>
        <w:t xml:space="preserve"> (Demography and Migration domain)</w:t>
      </w:r>
    </w:p>
    <w:sectPr w:rsidR="00C85119" w:rsidRPr="0000626D" w:rsidSect="00F47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9D"/>
    <w:rsid w:val="0000626D"/>
    <w:rsid w:val="00007C69"/>
    <w:rsid w:val="000264B3"/>
    <w:rsid w:val="00160FD3"/>
    <w:rsid w:val="003A5D6A"/>
    <w:rsid w:val="005A6049"/>
    <w:rsid w:val="007427D6"/>
    <w:rsid w:val="00895B20"/>
    <w:rsid w:val="00904DFE"/>
    <w:rsid w:val="00992CCD"/>
    <w:rsid w:val="00A10BDA"/>
    <w:rsid w:val="00BA4472"/>
    <w:rsid w:val="00C85119"/>
    <w:rsid w:val="00D17E62"/>
    <w:rsid w:val="00D23917"/>
    <w:rsid w:val="00E63873"/>
    <w:rsid w:val="00F4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BDAC"/>
  <w15:chartTrackingRefBased/>
  <w15:docId w15:val="{18F4DBA7-E10B-4E27-AF53-52A842A7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9D"/>
  </w:style>
  <w:style w:type="paragraph" w:styleId="Heading1">
    <w:name w:val="heading 1"/>
    <w:basedOn w:val="Normal"/>
    <w:next w:val="Normal"/>
    <w:link w:val="Heading1Char"/>
    <w:uiPriority w:val="9"/>
    <w:qFormat/>
    <w:rsid w:val="00F4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300</Words>
  <Characters>1656</Characters>
  <Application>Microsoft Office Word</Application>
  <DocSecurity>0</DocSecurity>
  <Lines>23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D'Souza, Tyde</dc:creator>
  <cp:keywords/>
  <dc:description/>
  <cp:lastModifiedBy>D'Souza, Tyde</cp:lastModifiedBy>
  <cp:revision>5</cp:revision>
  <dcterms:created xsi:type="dcterms:W3CDTF">2025-11-27T16:12:00Z</dcterms:created>
  <dcterms:modified xsi:type="dcterms:W3CDTF">2025-11-28T16:46:00Z</dcterms:modified>
</cp:coreProperties>
</file>