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1.png" ContentType="image/png"/>
  <Override PartName="/word/media/rId67.png" ContentType="image/png"/>
  <Override PartName="/word/media/rId70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и анализировать ассемблерный код с арифметическими операциями и понять синтаксис. Работа поможет развить навыки низкоуровневого программирования и понимания работы процессора.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несколько программ для вычислений.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3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Создайте каталог для программ лабораторной работы № 6, перейдите в него и создайте файл lab6-1.asm</w:t>
      </w:r>
    </w:p>
    <w:p>
      <w:pPr>
        <w:pStyle w:val="CaptionedFigure"/>
      </w:pPr>
      <w:r>
        <w:drawing>
          <wp:inline>
            <wp:extent cx="3733800" cy="419813"/>
            <wp:effectExtent b="0" l="0" r="0" t="0"/>
            <wp:docPr descr="Создаём каталог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09-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</w:t>
      </w:r>
    </w:p>
    <w:p>
      <w:pPr>
        <w:pStyle w:val="CaptionedFigure"/>
      </w:pPr>
      <w:r>
        <w:drawing>
          <wp:inline>
            <wp:extent cx="2997200" cy="3136900"/>
            <wp:effectExtent b="0" l="0" r="0" t="0"/>
            <wp:docPr descr="заполняем программу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13-2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программу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22-0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Изменим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1663700" cy="520700"/>
            <wp:effectExtent b="0" l="0" r="0" t="0"/>
            <wp:docPr descr="подмена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38-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подмена</w:t>
      </w:r>
    </w:p>
    <w:p>
      <w:pPr>
        <w:pStyle w:val="CaptionedFigure"/>
      </w:pPr>
      <w:r>
        <w:drawing>
          <wp:inline>
            <wp:extent cx="3733800" cy="565950"/>
            <wp:effectExtent b="0" l="0" r="0" t="0"/>
            <wp:docPr descr="резульат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34-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резульат</w:t>
      </w:r>
    </w:p>
    <w:p>
      <w:pPr>
        <w:pStyle w:val="BodyText"/>
      </w:pPr>
      <w:r>
        <w:t xml:space="preserve">Преобразуем текст программы из Листинга 6.1 с использованием этих функций.</w:t>
      </w:r>
    </w:p>
    <w:p>
      <w:pPr>
        <w:pStyle w:val="CaptionedFigure"/>
      </w:pPr>
      <w:r>
        <w:drawing>
          <wp:inline>
            <wp:extent cx="2743200" cy="2095500"/>
            <wp:effectExtent b="0" l="0" r="0" t="0"/>
            <wp:docPr descr="заполняем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46-1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</w:t>
      </w:r>
    </w:p>
    <w:p>
      <w:pPr>
        <w:pStyle w:val="CaptionedFigure"/>
      </w:pPr>
      <w:r>
        <w:drawing>
          <wp:inline>
            <wp:extent cx="3733800" cy="294963"/>
            <wp:effectExtent b="0" l="0" r="0" t="0"/>
            <wp:docPr descr="результат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48-5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Изменим символы на числа</w:t>
      </w:r>
    </w:p>
    <w:p>
      <w:pPr>
        <w:pStyle w:val="CaptionedFigure"/>
      </w:pPr>
      <w:r>
        <w:drawing>
          <wp:inline>
            <wp:extent cx="1498600" cy="508000"/>
            <wp:effectExtent b="0" l="0" r="0" t="0"/>
            <wp:docPr descr="подмена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0-2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подмена</w:t>
      </w:r>
    </w:p>
    <w:p>
      <w:pPr>
        <w:pStyle w:val="CaptionedFigure"/>
      </w:pPr>
      <w:r>
        <w:drawing>
          <wp:inline>
            <wp:extent cx="3733800" cy="265674"/>
            <wp:effectExtent b="0" l="0" r="0" t="0"/>
            <wp:docPr descr="результат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1-1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</w:p>
    <w:p>
      <w:pPr>
        <w:pStyle w:val="CaptionedFigure"/>
      </w:pPr>
      <w:r>
        <w:drawing>
          <wp:inline>
            <wp:extent cx="1778000" cy="228600"/>
            <wp:effectExtent b="0" l="0" r="0" t="0"/>
            <wp:docPr descr="меняем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3-3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</w:t>
      </w:r>
    </w:p>
    <w:p>
      <w:pPr>
        <w:pStyle w:val="CaptionedFigure"/>
      </w:pPr>
      <w:r>
        <w:drawing>
          <wp:inline>
            <wp:extent cx="3733800" cy="249871"/>
            <wp:effectExtent b="0" l="0" r="0" t="0"/>
            <wp:docPr descr="резульат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3-5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резульат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 = (5 * 2+ 3)/3</w:t>
      </w:r>
    </w:p>
    <w:p>
      <w:pPr>
        <w:pStyle w:val="CaptionedFigure"/>
      </w:pPr>
      <w:r>
        <w:drawing>
          <wp:inline>
            <wp:extent cx="3733800" cy="3685128"/>
            <wp:effectExtent b="0" l="0" r="0" t="0"/>
            <wp:docPr descr="пишем программу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6-0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458902"/>
            <wp:effectExtent b="0" l="0" r="0" t="0"/>
            <wp:docPr descr="результат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4-56-5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Измените текст программы для вычисления выражения f(x) = (4 * 6 + 2)/5.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меняем выражение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8-5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выражение</w:t>
      </w:r>
    </w:p>
    <w:p>
      <w:pPr>
        <w:pStyle w:val="CaptionedFigure"/>
      </w:pPr>
      <w:r>
        <w:drawing>
          <wp:inline>
            <wp:extent cx="3733800" cy="424295"/>
            <wp:effectExtent b="0" l="0" r="0" t="0"/>
            <wp:docPr descr="результат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08-4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рассмотрим программу вычисления варианта задания по номеру студенческого билета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пишем программу" title="fig: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11-0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589173"/>
            <wp:effectExtent b="0" l="0" r="0" t="0"/>
            <wp:docPr descr="результат" title="fig: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5-36-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73"/>
    <w:bookmarkStart w:id="74" w:name="ответы-на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moveax.rem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есх,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еах и возвращает полученное число в регистре еaх.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xoredx.edx</w:t>
      </w:r>
      <w:r>
        <w:t xml:space="preserve">”</w:t>
      </w:r>
      <w:r>
        <w:t xml:space="preserve"> </w:t>
      </w:r>
      <w:r>
        <w:t xml:space="preserve">обнуляет регистр. edx перед выполнением деления. Строка</w:t>
      </w:r>
      <w:r>
        <w:t xml:space="preserve"> </w:t>
      </w:r>
      <w:r>
        <w:t xml:space="preserve">“</w:t>
      </w:r>
      <w:r>
        <w:t xml:space="preserve">movebx,20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divebx</w:t>
      </w:r>
      <w:r>
        <w:t xml:space="preserve">”</w:t>
      </w:r>
      <w:r>
        <w:t xml:space="preserve"> </w:t>
      </w:r>
      <w:r>
        <w:t xml:space="preserve">выполняет деление регистра еах на значение регистра ebx с сохранением частного в регистре еах и остатка в регистре edx,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</w:t>
      </w:r>
    </w:p>
    <w:p>
      <w:pPr>
        <w:numPr>
          <w:ilvl w:val="0"/>
          <w:numId w:val="1001"/>
        </w:numPr>
        <w:pStyle w:val="Compact"/>
      </w:pPr>
      <w:r>
        <w:t xml:space="preserve">В данном случае, она увеличивает остаток от деления на 1.</w:t>
      </w:r>
      <w:r>
        <w:t xml:space="preserve"> </w:t>
      </w:r>
      <w:r>
        <w:t xml:space="preserve">1з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moy eax.edx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36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процедуруiprintLF для вывода значения на экран вместе с переводом строки.</w:t>
      </w:r>
    </w:p>
    <w:bookmarkEnd w:id="74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Создайте исполняемый файл и проверьте его работу для значений x1 и x2</w:t>
      </w:r>
    </w:p>
    <w:p>
      <w:pPr>
        <w:pStyle w:val="BodyText"/>
      </w:pPr>
      <w:bookmarkStart w:id="78" w:name="fig:001"/>
      <w:r>
        <w:drawing>
          <wp:inline>
            <wp:extent cx="3733800" cy="5255729"/>
            <wp:effectExtent b="0" l="0" r="0" t="0"/>
            <wp:docPr descr="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6-10-4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bookmarkStart w:id="82" w:name="fig:001"/>
      <w:r>
        <w:drawing>
          <wp:inline>
            <wp:extent cx="3733800" cy="1068950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6-11-2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работе были изучены арифметические операции в языке ассемблера NASM.Был рассмотрен синтаксис и были написаны и проанализированы программы на ассемблере, которые используют арифметические операции для решения различных задач.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Газизянов Владислав Альбертович</dc:creator>
  <dc:language>ru-RU</dc:language>
  <cp:keywords/>
  <dcterms:created xsi:type="dcterms:W3CDTF">2023-11-18T13:23:11Z</dcterms:created>
  <dcterms:modified xsi:type="dcterms:W3CDTF">2023-11-18T13:23:11Z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