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Анализ бизнес-процессов UP42</w:t>
      </w:r>
    </w:p>
    <w:p>
      <w:r>
        <w:t>UP42 как процессный прототип геопространственного маркетплейса | 19.09.2026</w:t>
      </w:r>
    </w:p>
    <w:p>
      <w:r>
        <w:t>Область анализа: пользовательские и обеспечивающие процессы. Описания внутренних операций поставщиков, не раскрытых в документации, приведены как проектные предположения и отдельно отмечены.</w:t>
      </w:r>
    </w:p>
    <w:p>
      <w:pPr>
        <w:pStyle w:val="Heading1"/>
      </w:pPr>
      <w:r>
        <w:t>1. Карта процессов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t>Шаг</w:t>
            </w:r>
          </w:p>
        </w:tc>
        <w:tc>
          <w:tcPr>
            <w:tcW w:type="dxa" w:w="4986"/>
          </w:tcPr>
          <w:p>
            <w:r>
              <w:t>Действие / результат</w:t>
            </w:r>
          </w:p>
        </w:tc>
      </w:tr>
      <w:tr>
        <w:tc>
          <w:tcPr>
            <w:tcW w:type="dxa" w:w="4986"/>
          </w:tcPr>
          <w:p>
            <w:r>
              <w:t>P1</w:t>
            </w:r>
          </w:p>
        </w:tc>
        <w:tc>
          <w:tcPr>
            <w:tcW w:type="dxa" w:w="4986"/>
          </w:tcPr>
          <w:p>
            <w:r>
              <w:t>Управление аккаунтом, правами и доступом к продуктам.</w:t>
            </w:r>
          </w:p>
        </w:tc>
      </w:tr>
      <w:tr>
        <w:tc>
          <w:tcPr>
            <w:tcW w:type="dxa" w:w="4986"/>
          </w:tcPr>
          <w:p>
            <w:r>
              <w:t>P2</w:t>
            </w:r>
          </w:p>
        </w:tc>
        <w:tc>
          <w:tcPr>
            <w:tcW w:type="dxa" w:w="4986"/>
          </w:tcPr>
          <w:p>
            <w:r>
              <w:t>Каталог: поиск, выбор и приобретение архивных данных.</w:t>
            </w:r>
          </w:p>
        </w:tc>
      </w:tr>
      <w:tr>
        <w:tc>
          <w:tcPr>
            <w:tcW w:type="dxa" w:w="4986"/>
          </w:tcPr>
          <w:p>
            <w:r>
              <w:t>P3</w:t>
            </w:r>
          </w:p>
        </w:tc>
        <w:tc>
          <w:tcPr>
            <w:tcW w:type="dxa" w:w="4986"/>
          </w:tcPr>
          <w:p>
            <w:r>
              <w:t>Tasking: запрос и выполнение новой съёмки.</w:t>
            </w:r>
          </w:p>
        </w:tc>
      </w:tr>
      <w:tr>
        <w:tc>
          <w:tcPr>
            <w:tcW w:type="dxa" w:w="4986"/>
          </w:tcPr>
          <w:p>
            <w:r>
              <w:t>P4</w:t>
            </w:r>
          </w:p>
        </w:tc>
        <w:tc>
          <w:tcPr>
            <w:tcW w:type="dxa" w:w="4986"/>
          </w:tcPr>
          <w:p>
            <w:r>
              <w:t>Data Management: получение, организация и выдача данных.</w:t>
            </w:r>
          </w:p>
        </w:tc>
      </w:tr>
      <w:tr>
        <w:tc>
          <w:tcPr>
            <w:tcW w:type="dxa" w:w="4986"/>
          </w:tcPr>
          <w:p>
            <w:r>
              <w:t>P5</w:t>
            </w:r>
          </w:p>
        </w:tc>
        <w:tc>
          <w:tcPr>
            <w:tcW w:type="dxa" w:w="4986"/>
          </w:tcPr>
          <w:p>
            <w:r>
              <w:t>Processing: запуск обработки и получение результата.</w:t>
            </w:r>
          </w:p>
        </w:tc>
      </w:tr>
      <w:tr>
        <w:tc>
          <w:tcPr>
            <w:tcW w:type="dxa" w:w="4986"/>
          </w:tcPr>
          <w:p>
            <w:r>
              <w:t>P6</w:t>
            </w:r>
          </w:p>
        </w:tc>
        <w:tc>
          <w:tcPr>
            <w:tcW w:type="dxa" w:w="4986"/>
          </w:tcPr>
          <w:p>
            <w:r>
              <w:t>Биллинг и бюджеты; сквозной процесс для заказов и обработки.</w:t>
            </w:r>
          </w:p>
        </w:tc>
      </w:tr>
      <w:tr>
        <w:tc>
          <w:tcPr>
            <w:tcW w:type="dxa" w:w="4986"/>
          </w:tcPr>
          <w:p>
            <w:r>
              <w:t>P7</w:t>
            </w:r>
          </w:p>
        </w:tc>
        <w:tc>
          <w:tcPr>
            <w:tcW w:type="dxa" w:w="4986"/>
          </w:tcPr>
          <w:p>
            <w:r>
              <w:t>Управление заказами, состояниями и ошибками; сквозной процесс.</w:t>
            </w:r>
          </w:p>
        </w:tc>
      </w:tr>
    </w:tbl>
    <w:p>
      <w:pPr>
        <w:pStyle w:val="Heading1"/>
      </w:pPr>
      <w:r>
        <w:t>2. P1 — Доступ и подготовка к покупке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t>Шаг</w:t>
            </w:r>
          </w:p>
        </w:tc>
        <w:tc>
          <w:tcPr>
            <w:tcW w:type="dxa" w:w="4986"/>
          </w:tcPr>
          <w:p>
            <w:r>
              <w:t>Действие / результат</w:t>
            </w:r>
          </w:p>
        </w:tc>
      </w:tr>
      <w:tr>
        <w:tc>
          <w:tcPr>
            <w:tcW w:type="dxa" w:w="4986"/>
          </w:tcPr>
          <w:p>
            <w:r>
              <w:t>1.1</w:t>
            </w:r>
          </w:p>
        </w:tc>
        <w:tc>
          <w:tcPr>
            <w:tcW w:type="dxa" w:w="4986"/>
          </w:tcPr>
          <w:p>
            <w:r>
              <w:t>Организация создаёт аккаунт; уполномоченный пользователь управляет участниками и ролями.</w:t>
            </w:r>
          </w:p>
        </w:tc>
      </w:tr>
      <w:tr>
        <w:tc>
          <w:tcPr>
            <w:tcW w:type="dxa" w:w="4986"/>
          </w:tcPr>
          <w:p>
            <w:r>
              <w:t>1.2</w:t>
            </w:r>
          </w:p>
        </w:tc>
        <w:tc>
          <w:tcPr>
            <w:tcW w:type="dxa" w:w="4986"/>
          </w:tcPr>
          <w:p>
            <w:r>
              <w:t>Пользователь выбирает коллекцию или алгоритм и проверяет ограничения доступа.</w:t>
            </w:r>
          </w:p>
        </w:tc>
      </w:tr>
      <w:tr>
        <w:tc>
          <w:tcPr>
            <w:tcW w:type="dxa" w:w="4986"/>
          </w:tcPr>
          <w:p>
            <w:r>
              <w:t>1.3</w:t>
            </w:r>
          </w:p>
        </w:tc>
        <w:tc>
          <w:tcPr>
            <w:tcW w:type="dxa" w:w="4986"/>
          </w:tcPr>
          <w:p>
            <w:r>
              <w:t>Если требуется разрешение, подаёт запрос; решение по доступу фиксируется, пользователь получает уведомление.</w:t>
            </w:r>
          </w:p>
        </w:tc>
      </w:tr>
      <w:tr>
        <w:tc>
          <w:tcPr>
            <w:tcW w:type="dxa" w:w="4986"/>
          </w:tcPr>
          <w:p>
            <w:r>
              <w:t>1.4</w:t>
            </w:r>
          </w:p>
        </w:tc>
        <w:tc>
          <w:tcPr>
            <w:tcW w:type="dxa" w:w="4986"/>
          </w:tcPr>
          <w:p>
            <w:r>
              <w:t>Пользователь принимает актуальное лицензионное соглашение (EULA); при обновлении соглашения требуется повторное принятие.</w:t>
            </w:r>
          </w:p>
        </w:tc>
      </w:tr>
      <w:tr>
        <w:tc>
          <w:tcPr>
            <w:tcW w:type="dxa" w:w="4986"/>
          </w:tcPr>
          <w:p>
            <w:r>
              <w:t>Выход</w:t>
            </w:r>
          </w:p>
        </w:tc>
        <w:tc>
          <w:tcPr>
            <w:tcW w:type="dxa" w:w="4986"/>
          </w:tcPr>
          <w:p>
            <w:r>
              <w:t>Пользователь может выполнять разрешённые операции с выбранным продуктом.</w:t>
            </w:r>
          </w:p>
        </w:tc>
      </w:tr>
    </w:tbl>
    <w:p>
      <w:r>
        <w:t>Ветви: доступ уже есть → пропустить запрос; отказ → покупка недоступна; недостаточная роль → операция блокируется.</w:t>
      </w:r>
    </w:p>
    <w:p>
      <w:pPr>
        <w:pStyle w:val="Heading1"/>
      </w:pPr>
      <w:r>
        <w:t>3. P2 — Покупка архивных данных (Catalog)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t>Шаг</w:t>
            </w:r>
          </w:p>
        </w:tc>
        <w:tc>
          <w:tcPr>
            <w:tcW w:type="dxa" w:w="4986"/>
          </w:tcPr>
          <w:p>
            <w:r>
              <w:t>Действие / результат</w:t>
            </w:r>
          </w:p>
        </w:tc>
      </w:tr>
      <w:tr>
        <w:tc>
          <w:tcPr>
            <w:tcW w:type="dxa" w:w="4986"/>
          </w:tcPr>
          <w:p>
            <w:r>
              <w:t>2.1 Геометрия</w:t>
            </w:r>
          </w:p>
        </w:tc>
        <w:tc>
          <w:tcPr>
            <w:tcW w:type="dxa" w:w="4986"/>
          </w:tcPr>
          <w:p>
            <w:r>
              <w:t>Пользователь задаёт область интереса (AOI) и проверяет её соответствие ограничениям коллекции.</w:t>
            </w:r>
          </w:p>
        </w:tc>
      </w:tr>
      <w:tr>
        <w:tc>
          <w:tcPr>
            <w:tcW w:type="dxa" w:w="4986"/>
          </w:tcPr>
          <w:p>
            <w:r>
              <w:t>2.2 Фильтры</w:t>
            </w:r>
          </w:p>
        </w:tc>
        <w:tc>
          <w:tcPr>
            <w:tcW w:type="dxa" w:w="4986"/>
          </w:tcPr>
          <w:p>
            <w:r>
              <w:t>Выбирает коллекции, разрешение, период съёмки и максимальную облачность.</w:t>
            </w:r>
          </w:p>
        </w:tc>
      </w:tr>
      <w:tr>
        <w:tc>
          <w:tcPr>
            <w:tcW w:type="dxa" w:w="4986"/>
          </w:tcPr>
          <w:p>
            <w:r>
              <w:t>2.3 Результаты</w:t>
            </w:r>
          </w:p>
        </w:tc>
        <w:tc>
          <w:tcPr>
            <w:tcW w:type="dxa" w:w="4986"/>
          </w:tcPr>
          <w:p>
            <w:r>
              <w:t>Система показывает сцены, пересекающие область; пользователь изучает геометрию и доступный Quicklook.</w:t>
            </w:r>
          </w:p>
        </w:tc>
      </w:tr>
      <w:tr>
        <w:tc>
          <w:tcPr>
            <w:tcW w:type="dxa" w:w="4986"/>
          </w:tcPr>
          <w:p>
            <w:r>
              <w:t>2.4 Выбор</w:t>
            </w:r>
          </w:p>
        </w:tc>
        <w:tc>
          <w:tcPr>
            <w:tcW w:type="dxa" w:w="4986"/>
          </w:tcPr>
          <w:p>
            <w:r>
              <w:t>Выбирает сцены и варианты продуктов, учитывает ожидаемое время доставки; добавляет их в корзину.</w:t>
            </w:r>
          </w:p>
        </w:tc>
      </w:tr>
      <w:tr>
        <w:tc>
          <w:tcPr>
            <w:tcW w:type="dxa" w:w="4986"/>
          </w:tcPr>
          <w:p>
            <w:r>
              <w:t>2.5 Корзина</w:t>
            </w:r>
          </w:p>
        </w:tc>
        <w:tc>
          <w:tcPr>
            <w:tcW w:type="dxa" w:w="4986"/>
          </w:tcPr>
          <w:p>
            <w:r>
              <w:t>Задаёт название и теги, проверяет состав; разные продукты одной сцены оплачиваются отдельно.</w:t>
            </w:r>
          </w:p>
        </w:tc>
      </w:tr>
      <w:tr>
        <w:tc>
          <w:tcPr>
            <w:tcW w:type="dxa" w:w="4986"/>
          </w:tcPr>
          <w:p>
            <w:r>
              <w:t>2.6 Финансы</w:t>
            </w:r>
          </w:p>
        </w:tc>
        <w:tc>
          <w:tcPr>
            <w:tcW w:type="dxa" w:w="4986"/>
          </w:tcPr>
          <w:p>
            <w:r>
              <w:t>Проверяет стоимость, баланс и при необходимости бюджет; при нехватке средств пополняет баланс.</w:t>
            </w:r>
          </w:p>
        </w:tc>
      </w:tr>
      <w:tr>
        <w:tc>
          <w:tcPr>
            <w:tcW w:type="dxa" w:w="4986"/>
          </w:tcPr>
          <w:p>
            <w:r>
              <w:t>2.7 Подтверждение</w:t>
            </w:r>
          </w:p>
        </w:tc>
        <w:tc>
          <w:tcPr>
            <w:tcW w:type="dxa" w:w="4986"/>
          </w:tcPr>
          <w:p>
            <w:r>
              <w:t>Проверяет платёжные данные и EULA, создаёт заказ.</w:t>
            </w:r>
          </w:p>
        </w:tc>
      </w:tr>
      <w:tr>
        <w:tc>
          <w:tcPr>
            <w:tcW w:type="dxa" w:w="4986"/>
          </w:tcPr>
          <w:p>
            <w:r>
              <w:t>2.8 Исполнение</w:t>
            </w:r>
          </w:p>
        </w:tc>
        <w:tc>
          <w:tcPr>
            <w:tcW w:type="dxa" w:w="4986"/>
          </w:tcPr>
          <w:p>
            <w:r>
              <w:t>Отслеживает статус; доставленные ресурсы могут стать доступны до завершения всего заказа.</w:t>
            </w:r>
          </w:p>
        </w:tc>
      </w:tr>
      <w:tr>
        <w:tc>
          <w:tcPr>
            <w:tcW w:type="dxa" w:w="4986"/>
          </w:tcPr>
          <w:p>
            <w:r>
              <w:t>2.9 Получение</w:t>
            </w:r>
          </w:p>
        </w:tc>
        <w:tc>
          <w:tcPr>
            <w:tcW w:type="dxa" w:w="4986"/>
          </w:tcPr>
          <w:p>
            <w:r>
              <w:t>Скачивает доступные файлы из хранилища.</w:t>
            </w:r>
          </w:p>
        </w:tc>
      </w:tr>
      <w:tr>
        <w:tc>
          <w:tcPr>
            <w:tcW w:type="dxa" w:w="4986"/>
          </w:tcPr>
          <w:p>
            <w:r>
              <w:t>Выход</w:t>
            </w:r>
          </w:p>
        </w:tc>
        <w:tc>
          <w:tcPr>
            <w:tcW w:type="dxa" w:w="4986"/>
          </w:tcPr>
          <w:p>
            <w:r>
              <w:t>Приобретённые ресурсы доступны заказчику.</w:t>
            </w:r>
          </w:p>
        </w:tc>
      </w:tr>
    </w:tbl>
    <w:p>
      <w:r>
        <w:t>Ветви: подходящих сцен нет → изменить запрос; ограничение доступа → P1; ошибка размещения или выполнения → P7. Списание кредитов за архивный заказ производится после успешного выполнения (см. источник 1).</w:t>
      </w:r>
    </w:p>
    <w:p>
      <w:pPr>
        <w:pStyle w:val="Heading1"/>
      </w:pPr>
      <w:r>
        <w:t>4. P3 — Заказ новой съёмки (Tasking)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t>Шаг</w:t>
            </w:r>
          </w:p>
        </w:tc>
        <w:tc>
          <w:tcPr>
            <w:tcW w:type="dxa" w:w="4986"/>
          </w:tcPr>
          <w:p>
            <w:r>
              <w:t>Действие / результат</w:t>
            </w:r>
          </w:p>
        </w:tc>
      </w:tr>
      <w:tr>
        <w:tc>
          <w:tcPr>
            <w:tcW w:type="dxa" w:w="4986"/>
          </w:tcPr>
          <w:p>
            <w:r>
              <w:t>3.1</w:t>
            </w:r>
          </w:p>
        </w:tc>
        <w:tc>
          <w:tcPr>
            <w:tcW w:type="dxa" w:w="4986"/>
          </w:tcPr>
          <w:p>
            <w:r>
              <w:t>Получить доступ к коллекции, принять EULA; выбрать продукт и поставщика.</w:t>
            </w:r>
          </w:p>
        </w:tc>
      </w:tr>
      <w:tr>
        <w:tc>
          <w:tcPr>
            <w:tcW w:type="dxa" w:w="4986"/>
          </w:tcPr>
          <w:p>
            <w:r>
              <w:t>3.2</w:t>
            </w:r>
          </w:p>
        </w:tc>
        <w:tc>
          <w:tcPr>
            <w:tcW w:type="dxa" w:w="4986"/>
          </w:tcPr>
          <w:p>
            <w:r>
              <w:t>Задать геометрию, временное окно и параметры съёмки в пределах ограничений продукта.</w:t>
            </w:r>
          </w:p>
        </w:tc>
      </w:tr>
      <w:tr>
        <w:tc>
          <w:tcPr>
            <w:tcW w:type="dxa" w:w="4986"/>
          </w:tcPr>
          <w:p>
            <w:r>
              <w:t>3.3</w:t>
            </w:r>
          </w:p>
        </w:tc>
        <w:tc>
          <w:tcPr>
            <w:tcW w:type="dxa" w:w="4986"/>
          </w:tcPr>
          <w:p>
            <w:r>
              <w:t>Создать запрос; при необходимости пройти оценку осуществимости (feasibility).</w:t>
            </w:r>
          </w:p>
        </w:tc>
      </w:tr>
      <w:tr>
        <w:tc>
          <w:tcPr>
            <w:tcW w:type="dxa" w:w="4986"/>
          </w:tcPr>
          <w:p>
            <w:r>
              <w:t>3.4</w:t>
            </w:r>
          </w:p>
        </w:tc>
        <w:tc>
          <w:tcPr>
            <w:tcW w:type="dxa" w:w="4986"/>
          </w:tcPr>
          <w:p>
            <w:r>
              <w:t>Рассмотреть предложенные условия, при необходимости согласовать изменения.</w:t>
            </w:r>
          </w:p>
        </w:tc>
      </w:tr>
      <w:tr>
        <w:tc>
          <w:tcPr>
            <w:tcW w:type="dxa" w:w="4986"/>
          </w:tcPr>
          <w:p>
            <w:r>
              <w:t>3.5</w:t>
            </w:r>
          </w:p>
        </w:tc>
        <w:tc>
          <w:tcPr>
            <w:tcW w:type="dxa" w:w="4986"/>
          </w:tcPr>
          <w:p>
            <w:r>
              <w:t>Получить ценовое предложение (quotation), принять его и активировать заказ.</w:t>
            </w:r>
          </w:p>
        </w:tc>
      </w:tr>
      <w:tr>
        <w:tc>
          <w:tcPr>
            <w:tcW w:type="dxa" w:w="4986"/>
          </w:tcPr>
          <w:p>
            <w:r>
              <w:t>3.6</w:t>
            </w:r>
          </w:p>
        </w:tc>
        <w:tc>
          <w:tcPr>
            <w:tcW w:type="dxa" w:w="4986"/>
          </w:tcPr>
          <w:p>
            <w:r>
              <w:t>Поставщик выполняет съёмку; платформа отслеживает выполнение и доставку ресурсов.</w:t>
            </w:r>
          </w:p>
        </w:tc>
      </w:tr>
      <w:tr>
        <w:tc>
          <w:tcPr>
            <w:tcW w:type="dxa" w:w="4986"/>
          </w:tcPr>
          <w:p>
            <w:r>
              <w:t>3.7</w:t>
            </w:r>
          </w:p>
        </w:tc>
        <w:tc>
          <w:tcPr>
            <w:tcW w:type="dxa" w:w="4986"/>
          </w:tcPr>
          <w:p>
            <w:r>
              <w:t>Заказчик получает и скачивает данные.</w:t>
            </w:r>
          </w:p>
        </w:tc>
      </w:tr>
      <w:tr>
        <w:tc>
          <w:tcPr>
            <w:tcW w:type="dxa" w:w="4986"/>
          </w:tcPr>
          <w:p>
            <w:r>
              <w:t>Выход</w:t>
            </w:r>
          </w:p>
        </w:tc>
        <w:tc>
          <w:tcPr>
            <w:tcW w:type="dxa" w:w="4986"/>
          </w:tcPr>
          <w:p>
            <w:r>
              <w:t>Новые данные предоставлены заказчику.</w:t>
            </w:r>
          </w:p>
        </w:tc>
      </w:tr>
    </w:tbl>
    <w:p>
      <w:r>
        <w:t>Ветви: съёмка невозможна на исходных условиях → изменение параметров/отказ; предложение не принято → заказ не активирован. Feasibility и quotation зависят от конкретного продукта; не считать их обязательными для каждого заказа.</w:t>
      </w:r>
    </w:p>
    <w:p>
      <w:pPr>
        <w:pStyle w:val="Heading1"/>
      </w:pPr>
      <w:r>
        <w:t>5. P4 — Управление данными (Data Management)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t>Шаг</w:t>
            </w:r>
          </w:p>
        </w:tc>
        <w:tc>
          <w:tcPr>
            <w:tcW w:type="dxa" w:w="4986"/>
          </w:tcPr>
          <w:p>
            <w:r>
              <w:t>Действие / результат</w:t>
            </w:r>
          </w:p>
        </w:tc>
      </w:tr>
      <w:tr>
        <w:tc>
          <w:tcPr>
            <w:tcW w:type="dxa" w:w="4986"/>
          </w:tcPr>
          <w:p>
            <w:r>
              <w:t>4.1</w:t>
            </w:r>
          </w:p>
        </w:tc>
        <w:tc>
          <w:tcPr>
            <w:tcW w:type="dxa" w:w="4986"/>
          </w:tcPr>
          <w:p>
            <w:r>
              <w:t>Получение файлов по заказу либо по результату обработки.</w:t>
            </w:r>
          </w:p>
        </w:tc>
      </w:tr>
      <w:tr>
        <w:tc>
          <w:tcPr>
            <w:tcW w:type="dxa" w:w="4986"/>
          </w:tcPr>
          <w:p>
            <w:r>
              <w:t>4.2</w:t>
            </w:r>
          </w:p>
        </w:tc>
        <w:tc>
          <w:tcPr>
            <w:tcW w:type="dxa" w:w="4986"/>
          </w:tcPr>
          <w:p>
            <w:r>
              <w:t>Размещение ресурсов в хранилище; привязка к заказу и пользователю/рабочему пространству.</w:t>
            </w:r>
          </w:p>
        </w:tc>
      </w:tr>
      <w:tr>
        <w:tc>
          <w:tcPr>
            <w:tcW w:type="dxa" w:w="4986"/>
          </w:tcPr>
          <w:p>
            <w:r>
              <w:t>4.3</w:t>
            </w:r>
          </w:p>
        </w:tc>
        <w:tc>
          <w:tcPr>
            <w:tcW w:type="dxa" w:w="4986"/>
          </w:tcPr>
          <w:p>
            <w:r>
              <w:t>Представление метаданных в стандартизированной модели STAC; для поддерживаемых данных — нормализация форматов CNAM.</w:t>
            </w:r>
          </w:p>
        </w:tc>
      </w:tr>
      <w:tr>
        <w:tc>
          <w:tcPr>
            <w:tcW w:type="dxa" w:w="4986"/>
          </w:tcPr>
          <w:p>
            <w:r>
              <w:t>4.4</w:t>
            </w:r>
          </w:p>
        </w:tc>
        <w:tc>
          <w:tcPr>
            <w:tcW w:type="dxa" w:w="4986"/>
          </w:tcPr>
          <w:p>
            <w:r>
              <w:t>Поиск, фильтрация, просмотр метаданных и доступного предпросмотра.</w:t>
            </w:r>
          </w:p>
        </w:tc>
      </w:tr>
      <w:tr>
        <w:tc>
          <w:tcPr>
            <w:tcW w:type="dxa" w:w="4986"/>
          </w:tcPr>
          <w:p>
            <w:r>
              <w:t>4.5</w:t>
            </w:r>
          </w:p>
        </w:tc>
        <w:tc>
          <w:tcPr>
            <w:tcW w:type="dxa" w:w="4986"/>
          </w:tcPr>
          <w:p>
            <w:r>
              <w:t>Скачивание ресурсов или использование их во внешних ГИС и процессах обработки.</w:t>
            </w:r>
          </w:p>
        </w:tc>
      </w:tr>
      <w:tr>
        <w:tc>
          <w:tcPr>
            <w:tcW w:type="dxa" w:w="4986"/>
          </w:tcPr>
          <w:p>
            <w:r>
              <w:t>Выход</w:t>
            </w:r>
          </w:p>
        </w:tc>
        <w:tc>
          <w:tcPr>
            <w:tcW w:type="dxa" w:w="4986"/>
          </w:tcPr>
          <w:p>
            <w:r>
              <w:t>Данные организованы и доступны в соответствии с правами.</w:t>
            </w:r>
          </w:p>
        </w:tc>
      </w:tr>
    </w:tbl>
    <w:p>
      <w:r>
        <w:t>Примечание: привязка к пользователю/рабочему пространству сформулирована как логическое требование к прототипу; детали физического хранения UP42 не выводятся из пользовательского руководства.</w:t>
      </w:r>
    </w:p>
    <w:p>
      <w:pPr>
        <w:pStyle w:val="Heading1"/>
      </w:pPr>
      <w:r>
        <w:t>6. P5 — Обработка данных (Processing)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t>Шаг</w:t>
            </w:r>
          </w:p>
        </w:tc>
        <w:tc>
          <w:tcPr>
            <w:tcW w:type="dxa" w:w="4986"/>
          </w:tcPr>
          <w:p>
            <w:r>
              <w:t>Действие / результат</w:t>
            </w:r>
          </w:p>
        </w:tc>
      </w:tr>
      <w:tr>
        <w:tc>
          <w:tcPr>
            <w:tcW w:type="dxa" w:w="4986"/>
          </w:tcPr>
          <w:p>
            <w:r>
              <w:t>5.1</w:t>
            </w:r>
          </w:p>
        </w:tc>
        <w:tc>
          <w:tcPr>
            <w:tcW w:type="dxa" w:w="4986"/>
          </w:tcPr>
          <w:p>
            <w:r>
              <w:t>Выбрать алгоритм и принять применимое лицензионное соглашение.</w:t>
            </w:r>
          </w:p>
        </w:tc>
      </w:tr>
      <w:tr>
        <w:tc>
          <w:tcPr>
            <w:tcW w:type="dxa" w:w="4986"/>
          </w:tcPr>
          <w:p>
            <w:r>
              <w:t>5.2</w:t>
            </w:r>
          </w:p>
        </w:tc>
        <w:tc>
          <w:tcPr>
            <w:tcW w:type="dxa" w:w="4986"/>
          </w:tcPr>
          <w:p>
            <w:r>
              <w:t>Выбрать исходные данные из хранилища и проверить совместимость с алгоритмом.</w:t>
            </w:r>
          </w:p>
        </w:tc>
      </w:tr>
      <w:tr>
        <w:tc>
          <w:tcPr>
            <w:tcW w:type="dxa" w:w="4986"/>
          </w:tcPr>
          <w:p>
            <w:r>
              <w:t>5.3</w:t>
            </w:r>
          </w:p>
        </w:tc>
        <w:tc>
          <w:tcPr>
            <w:tcW w:type="dxa" w:w="4986"/>
          </w:tcPr>
          <w:p>
            <w:r>
              <w:t>Задать параметры, проверить стоимость и доступный баланс.</w:t>
            </w:r>
          </w:p>
        </w:tc>
      </w:tr>
      <w:tr>
        <w:tc>
          <w:tcPr>
            <w:tcW w:type="dxa" w:w="4986"/>
          </w:tcPr>
          <w:p>
            <w:r>
              <w:t>5.4</w:t>
            </w:r>
          </w:p>
        </w:tc>
        <w:tc>
          <w:tcPr>
            <w:tcW w:type="dxa" w:w="4986"/>
          </w:tcPr>
          <w:p>
            <w:r>
              <w:t>Создать задание обработки; отслеживать выполнение.</w:t>
            </w:r>
          </w:p>
        </w:tc>
      </w:tr>
      <w:tr>
        <w:tc>
          <w:tcPr>
            <w:tcW w:type="dxa" w:w="4986"/>
          </w:tcPr>
          <w:p>
            <w:r>
              <w:t>5.5</w:t>
            </w:r>
          </w:p>
        </w:tc>
        <w:tc>
          <w:tcPr>
            <w:tcW w:type="dxa" w:w="4986"/>
          </w:tcPr>
          <w:p>
            <w:r>
              <w:t>Получить результат как новый ресурс и скачать либо использовать его далее.</w:t>
            </w:r>
          </w:p>
        </w:tc>
      </w:tr>
      <w:tr>
        <w:tc>
          <w:tcPr>
            <w:tcW w:type="dxa" w:w="4986"/>
          </w:tcPr>
          <w:p>
            <w:r>
              <w:t>Выход</w:t>
            </w:r>
          </w:p>
        </w:tc>
        <w:tc>
          <w:tcPr>
            <w:tcW w:type="dxa" w:w="4986"/>
          </w:tcPr>
          <w:p>
            <w:r>
              <w:t>Обработанные данные доступны заказчику.</w:t>
            </w:r>
          </w:p>
        </w:tc>
      </w:tr>
    </w:tbl>
    <w:p>
      <w:r>
        <w:t>Ветви: неподдерживаемый формат → выбор иных данных/алгоритма; недостаточный баланс → пополнение; ошибка задания → диагностика и повторный запуск при необходимости.</w:t>
      </w:r>
    </w:p>
    <w:p>
      <w:pPr>
        <w:pStyle w:val="Heading1"/>
      </w:pPr>
      <w:r>
        <w:t>7. P6–P7 — Сквозные процессы</w:t>
      </w:r>
    </w:p>
    <w:p>
      <w:pPr>
        <w:pStyle w:val="Heading2"/>
      </w:pPr>
      <w:r>
        <w:t>P6. Финансы</w:t>
      </w:r>
    </w:p>
    <w:p>
      <w:r>
        <w:t>Расчёт стоимости → проверка баланса/бюджета → подтверждение условий → списание по правилам конкретного типа заказа → запись транзакции. Для Tasking принятие предложения и активация отличаются от оплаты архивного заказа. Возвраты и расчёты с поставщиками требуют отдельного согласования в собственном маркетплейсе.</w:t>
      </w:r>
    </w:p>
    <w:p>
      <w:pPr>
        <w:pStyle w:val="Heading2"/>
      </w:pPr>
      <w:r>
        <w:t>P7. Жизненный цикл заказа</w:t>
      </w:r>
    </w:p>
    <w:p>
      <w:r>
        <w:t>Создание → размещение → выполнение → частичная/полная доставка → завершение либо ошибка/отмена. Для Catalog API документированы CREATED, BEING_PLACED, PLACED, PLACEMENT_FAILED, BEING_FULFILLED, FULFILLED, FAILED_PERMANENTLY, CANCELED. Статусы заказа и готовность отдельных ресурсов целесообразно учитывать раздельно.</w:t>
      </w:r>
    </w:p>
    <w:p>
      <w:pPr>
        <w:pStyle w:val="Heading1"/>
      </w:pPr>
      <w:r>
        <w:t>8. Вывод для проектирования</w:t>
      </w:r>
    </w:p>
    <w:p>
      <w:r>
        <w:t>Минимальное процессное ядро маркетплейса: доступ → единый поиск → выбор продукта → расчёт и подтверждение → заказ → получение статусов → доставка данных. Catalog и Tasking следует моделировать отдельными процессами. Управление данными, финансами, правами и ошибками — общие сквозные процессы. Подключение поставщиков, синхронизация их каталогов, расчёты между сторонами и фактические протоколы передачи данных необходимо исследовать отдельно: пользовательская документация UP42 не раскрывает их полностью.</w:t>
      </w:r>
    </w:p>
    <w:p>
      <w:pPr>
        <w:pStyle w:val="Heading1"/>
      </w:pPr>
      <w:r>
        <w:t>Источники</w:t>
      </w:r>
    </w:p>
    <w:p>
      <w:r>
        <w:t>1. UP42 — Create catalog orders: https://docs.up42.com/data/catalog-process</w:t>
      </w:r>
    </w:p>
    <w:p>
      <w:r>
        <w:t>2. UP42 — Create tasking orders: https://docs.up42.com/data/tasking-process</w:t>
      </w:r>
    </w:p>
    <w:p>
      <w:r>
        <w:t>3. UP42 — Documentation / Data Management: https://docs.up42.com/</w:t>
      </w:r>
    </w:p>
    <w:p>
      <w:r>
        <w:t>4. UP42 — API documentation: https://docs.up42.com/</w:t>
      </w:r>
    </w:p>
    <w:sectPr w:rsidR="00FC693F" w:rsidRPr="0006063C" w:rsidSect="00034616">
      <w:pgSz w:w="12240" w:h="15840"/>
      <w:pgMar w:top="1020" w:right="1020" w:bottom="96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1B3148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1B3148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180"/>
      <w:contextualSpacing/>
    </w:pPr>
    <w:rPr>
      <w:rFonts w:asciiTheme="majorHAnsi" w:eastAsiaTheme="majorEastAsia" w:hAnsiTheme="majorHAnsi" w:cstheme="majorBidi" w:ascii="Arial" w:hAnsi="Arial"/>
      <w:b/>
      <w:color w:val="1B3148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