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color w:val="1A1A2E"/>
          <w:sz w:val="48"/>
          <w:szCs w:val="48"/>
        </w:rPr>
        <w:t xml:space="preserve">Measuring What Matters</w:t>
      </w:r>
    </w:p>
    <w:p>
      <w:pPr>
        <w:spacing w:after="200"/>
      </w:pPr>
      <w:r>
        <w:rPr>
          <w:rFonts w:ascii="Arial" w:cs="Arial" w:eastAsia="Arial" w:hAnsi="Arial"/>
          <w:color w:val="475569"/>
          <w:sz w:val="28"/>
          <w:szCs w:val="28"/>
        </w:rPr>
        <w:t xml:space="preserve">A Growth Accounting Framework for Anthropic’s Startup Partnerships</w:t>
      </w:r>
    </w:p>
    <w:p>
      <w:pPr>
        <w:pBdr>
          <w:bottom w:val="single" w:color="3B82F6" w:sz="6" w:space="1"/>
        </w:pBdr>
        <w:spacing w:after="100"/>
      </w:pPr>
      <w:r>
        <w:rPr>
          <w:rFonts w:ascii="Arial" w:cs="Arial" w:eastAsia="Arial" w:hAnsi="Arial"/>
          <w:color w:val="64748B"/>
          <w:sz w:val="20"/>
          <w:szCs w:val="20"/>
        </w:rPr>
        <w:t xml:space="preserve">Ongun Ozdemir · March 2026</w:t>
      </w:r>
    </w:p>
    <w:p>
      <w:pPr>
        <w:spacing w:after="200" w:before="200"/>
      </w:pPr>
    </w:p>
    <w:p>
      <w:pPr>
        <w:pStyle w:val="Heading1"/>
      </w:pPr>
      <w:r>
        <w:rPr>
          <w:b/>
          <w:bCs/>
        </w:rPr>
        <w:t xml:space="preserve">Foreword</w:t>
      </w:r>
    </w:p>
    <w:p>
      <w:pPr>
        <w:spacing w:after="120"/>
      </w:pPr>
      <w:r>
        <w:rPr>
          <w:rFonts w:ascii="Arial" w:cs="Arial" w:eastAsia="Arial" w:hAnsi="Arial"/>
          <w:sz w:val="22"/>
          <w:szCs w:val="22"/>
        </w:rPr>
        <w:t xml:space="preserve">All data in this dashboard is synthetic and for demonstrative purposes.</w:t>
      </w:r>
    </w:p>
    <w:p>
      <w:pPr>
        <w:spacing w:after="120"/>
      </w:pPr>
      <w:r>
        <w:rPr>
          <w:rFonts w:ascii="Arial" w:cs="Arial" w:eastAsia="Arial" w:hAnsi="Arial"/>
          <w:sz w:val="22"/>
          <w:szCs w:val="22"/>
        </w:rPr>
        <w:t xml:space="preserve">In this model, I’ve taken an approach which focuses on direct API usage, while ignoring enterprise agreements, Pro/Max subscriptions, and other consumption channels. By scoping to direct API partners only, the model stays clean with synthetic data and reflects the primary revenue channel that a startup partnerships role would manage.</w:t>
      </w:r>
    </w:p>
    <w:p>
      <w:pPr>
        <w:spacing w:after="120"/>
      </w:pPr>
      <w:r>
        <w:rPr>
          <w:rFonts w:ascii="Arial" w:cs="Arial" w:eastAsia="Arial" w:hAnsi="Arial"/>
          <w:sz w:val="22"/>
          <w:szCs w:val="22"/>
        </w:rPr>
        <w:t xml:space="preserve">We have applied early and growth-stage growth accounting analyses utilised by top-tier VC firms to evaluate product-market fit within a partnership portfolio. These frameworks take different approaches and place different importance on metrics depending on the partner’s use case and stage, as we highlight in the accompanying case studies.</w:t>
      </w:r>
    </w:p>
    <w:p>
      <w:pPr>
        <w:spacing w:after="120"/>
      </w:pPr>
      <w:r>
        <w:rPr>
          <w:rFonts w:ascii="Arial" w:cs="Arial" w:eastAsia="Arial" w:hAnsi="Arial"/>
          <w:sz w:val="22"/>
          <w:szCs w:val="22"/>
        </w:rPr>
        <w:t xml:space="preserve">The core analytical framework is adapted from Tribe Capital’s “A Quantitative Approach to Product-Market Fit” and the accompanying SQL implementation by Jonathan Hsu at Social Capital. The framework decomposes growth into its constituent components — retained, new, expansion, resurrected, contraction, and churned — to reveal the quality of growth, not just its rate.</w:t>
      </w:r>
    </w:p>
    <w:p>
      <w:pPr>
        <w:spacing w:after="120"/>
      </w:pPr>
      <w:r>
        <w:rPr>
          <w:rFonts w:ascii="Arial" w:cs="Arial" w:eastAsia="Arial" w:hAnsi="Arial"/>
          <w:sz w:val="22"/>
          <w:szCs w:val="22"/>
        </w:rPr>
        <w:t xml:space="preserve">The dashboard operates on three tiers:</w:t>
      </w:r>
    </w:p>
    <w:p>
      <w:pPr>
        <w:spacing w:after="100"/>
      </w:pPr>
      <w:r>
        <w:rPr>
          <w:rFonts w:ascii="Arial" w:cs="Arial" w:eastAsia="Arial" w:hAnsi="Arial"/>
          <w:b/>
          <w:bCs/>
          <w:sz w:val="22"/>
          <w:szCs w:val="22"/>
        </w:rPr>
        <w:t xml:space="preserve">Pulse</w:t>
      </w:r>
      <w:r>
        <w:rPr>
          <w:rFonts w:ascii="Arial" w:cs="Arial" w:eastAsia="Arial" w:hAnsi="Arial"/>
          <w:sz w:val="22"/>
          <w:szCs w:val="22"/>
        </w:rPr>
        <w:t xml:space="preserve"> — the ecosystem health check. Four headline metrics, a growth accounting waterfall with selectable time periods and scopes, a combined GA + CMGR chart, and a portfolio revenue share visualisation. This answers “is the portfolio healthy this week?” in under ten seconds.</w:t>
      </w:r>
    </w:p>
    <w:p>
      <w:pPr>
        <w:spacing w:after="100"/>
      </w:pPr>
      <w:r>
        <w:rPr>
          <w:rFonts w:ascii="Arial" w:cs="Arial" w:eastAsia="Arial" w:hAnsi="Arial"/>
          <w:b/>
          <w:bCs/>
          <w:sz w:val="22"/>
          <w:szCs w:val="22"/>
        </w:rPr>
        <w:t xml:space="preserve">Partners</w:t>
      </w:r>
      <w:r>
        <w:rPr>
          <w:rFonts w:ascii="Arial" w:cs="Arial" w:eastAsia="Arial" w:hAnsi="Arial"/>
          <w:sz w:val="22"/>
          <w:szCs w:val="22"/>
        </w:rPr>
        <w:t xml:space="preserve"> — the navigation layer. Every partner in a sortable, colour-coded scoreboard with a Power Law Tracker ranking partners by projected scale. This answers “who needs my attention?” and routes you to the detail view.</w:t>
      </w:r>
    </w:p>
    <w:p>
      <w:pPr>
        <w:spacing w:after="100"/>
      </w:pPr>
      <w:r>
        <w:rPr>
          <w:rFonts w:ascii="Arial" w:cs="Arial" w:eastAsia="Arial" w:hAnsi="Arial"/>
          <w:b/>
          <w:bCs/>
          <w:sz w:val="22"/>
          <w:szCs w:val="22"/>
        </w:rPr>
        <w:t xml:space="preserve">Company Detail</w:t>
      </w:r>
      <w:r>
        <w:rPr>
          <w:rFonts w:ascii="Arial" w:cs="Arial" w:eastAsia="Arial" w:hAnsi="Arial"/>
          <w:sz w:val="22"/>
          <w:szCs w:val="22"/>
        </w:rPr>
        <w:t xml:space="preserve"> — the full drill-down. Growth accounting, cohort LTV curves and heatmaps, developer retention, model mix evolution. This answers “why is this partner behaving the way it is, and what should I do about it?”</w:t>
      </w:r>
    </w:p>
    <w:p>
      <w:pPr>
        <w:spacing w:after="200" w:before="200"/>
      </w:pPr>
    </w:p>
    <w:p>
      <w:pPr>
        <w:pStyle w:val="Heading1"/>
      </w:pPr>
      <w:r>
        <w:rPr>
          <w:b/>
          <w:bCs/>
        </w:rPr>
        <w:t xml:space="preserve">Analytical Approach</w:t>
      </w:r>
    </w:p>
    <w:p>
      <w:pPr>
        <w:spacing w:after="120"/>
      </w:pPr>
      <w:r>
        <w:rPr>
          <w:rFonts w:ascii="Arial" w:cs="Arial" w:eastAsia="Arial" w:hAnsi="Arial"/>
          <w:sz w:val="22"/>
          <w:szCs w:val="22"/>
        </w:rPr>
        <w:t xml:space="preserve">The growth accounting identity is not a model — it’s an accounting framework. Every period, the active revenue base decomposes into mutually exclusive categories that must balance:</w:t>
      </w:r>
    </w:p>
    <w:p>
      <w:pPr>
        <w:spacing w:after="120"/>
        <w:jc w:val="center"/>
        <w:rPr>
          <w:rFonts w:ascii="Courier New" w:cs="Courier New" w:eastAsia="Courier New" w:hAnsi="Courier New"/>
          <w:sz w:val="20"/>
          <w:szCs w:val="20"/>
        </w:rPr>
      </w:pPr>
      <w:r>
        <w:rPr>
          <w:rFonts w:ascii="Courier New" w:cs="Courier New" w:eastAsia="Courier New" w:hAnsi="Courier New"/>
          <w:sz w:val="20"/>
          <w:szCs w:val="20"/>
        </w:rPr>
        <w:t xml:space="preserve">Revenue(t) = Retained + New + Expansion + Resurrected</w:t>
      </w:r>
    </w:p>
    <w:p>
      <w:pPr>
        <w:spacing w:after="120"/>
        <w:jc w:val="center"/>
        <w:rPr>
          <w:rFonts w:ascii="Courier New" w:cs="Courier New" w:eastAsia="Courier New" w:hAnsi="Courier New"/>
          <w:sz w:val="20"/>
          <w:szCs w:val="20"/>
        </w:rPr>
      </w:pPr>
      <w:r>
        <w:rPr>
          <w:rFonts w:ascii="Courier New" w:cs="Courier New" w:eastAsia="Courier New" w:hAnsi="Courier New"/>
          <w:sz w:val="20"/>
          <w:szCs w:val="20"/>
        </w:rPr>
        <w:t xml:space="preserve">Revenue(t-1) = Retained + Churned + Contraction</w:t>
      </w:r>
    </w:p>
    <w:p>
      <w:pPr>
        <w:spacing w:after="120"/>
      </w:pPr>
      <w:r>
        <w:rPr>
          <w:rFonts w:ascii="Arial" w:cs="Arial" w:eastAsia="Arial" w:hAnsi="Arial"/>
          <w:sz w:val="22"/>
          <w:szCs w:val="22"/>
        </w:rPr>
        <w:t xml:space="preserve">From these components we derive three key metrics:</w:t>
      </w:r>
    </w:p>
    <w:p>
      <w:pPr>
        <w:pStyle w:val="ListParagraph"/>
        <w:numPr>
          <w:ilvl w:val="0"/>
          <w:numId w:val="2"/>
        </w:numPr>
        <w:spacing w:after="60"/>
      </w:pPr>
      <w:r>
        <w:rPr>
          <w:rFonts w:ascii="Arial" w:cs="Arial" w:eastAsia="Arial" w:hAnsi="Arial"/>
          <w:sz w:val="22"/>
          <w:szCs w:val="22"/>
        </w:rPr>
        <w:t xml:space="preserve">Quick Ratio = (New + Resurrected + Expansion) / (Churned + Contraction) — measures growth efficiency</w:t>
      </w:r>
    </w:p>
    <w:p>
      <w:pPr>
        <w:pStyle w:val="ListParagraph"/>
        <w:numPr>
          <w:ilvl w:val="0"/>
          <w:numId w:val="2"/>
        </w:numPr>
        <w:spacing w:after="60"/>
      </w:pPr>
      <w:r>
        <w:rPr>
          <w:rFonts w:ascii="Arial" w:cs="Arial" w:eastAsia="Arial" w:hAnsi="Arial"/>
          <w:sz w:val="22"/>
          <w:szCs w:val="22"/>
        </w:rPr>
        <w:t xml:space="preserve">Gross Retention = Retained / Prior Revenue — the floor, how much survives without new business</w:t>
      </w:r>
    </w:p>
    <w:p>
      <w:pPr>
        <w:pStyle w:val="ListParagraph"/>
        <w:numPr>
          <w:ilvl w:val="0"/>
          <w:numId w:val="2"/>
        </w:numPr>
        <w:spacing w:after="60"/>
      </w:pPr>
      <w:r>
        <w:rPr>
          <w:rFonts w:ascii="Arial" w:cs="Arial" w:eastAsia="Arial" w:hAnsi="Arial"/>
          <w:sz w:val="22"/>
          <w:szCs w:val="22"/>
        </w:rPr>
        <w:t xml:space="preserve">Net Dollar Retention = (Retained + Expansion + Resurrected) / Prior Revenue — whether the existing base is growing or shrinking</w:t>
      </w:r>
    </w:p>
    <w:p>
      <w:pPr>
        <w:spacing w:after="120"/>
      </w:pPr>
      <w:r>
        <w:rPr>
          <w:rFonts w:ascii="Arial" w:cs="Arial" w:eastAsia="Arial" w:hAnsi="Arial"/>
          <w:sz w:val="22"/>
          <w:szCs w:val="22"/>
        </w:rPr>
        <w:t xml:space="preserve">Critically, the same Quick Ratio can mean very different things depending on the partner’s use case. A consumer product with QR 2.0x (high churn offset by high new) is healthy. A B2B enterprise product with QR 2.0x (moderate churn, moderate new) may be concerning. The case studies below demonstrate this principle.</w:t>
      </w:r>
    </w:p>
    <w:p>
      <w:r>
        <w:br w:type="page"/>
      </w:r>
    </w:p>
    <w:p>
      <w:pPr>
        <w:pStyle w:val="Heading1"/>
      </w:pPr>
      <w:r>
        <w:rPr>
          <w:b/>
          <w:bCs/>
        </w:rPr>
        <w:t xml:space="preserve">Case Study 1: WriteFlow — Consumer AI Writing Assistant</w:t>
      </w:r>
    </w:p>
    <w:p>
      <w:pPr>
        <w:spacing w:after="100"/>
      </w:pPr>
      <w:r>
        <w:rPr>
          <w:rFonts w:ascii="Arial" w:cs="Arial" w:eastAsia="Arial" w:hAnsi="Arial"/>
          <w:b/>
          <w:bCs/>
          <w:sz w:val="22"/>
          <w:szCs w:val="22"/>
        </w:rPr>
        <w:t xml:space="preserve">Stage: </w:t>
      </w:r>
      <w:r>
        <w:rPr>
          <w:rFonts w:ascii="Arial" w:cs="Arial" w:eastAsia="Arial" w:hAnsi="Arial"/>
          <w:sz w:val="22"/>
          <w:szCs w:val="22"/>
        </w:rPr>
        <w:t xml:space="preserve">Series A · HQ: London · Team: 18 people · Vertical: Consumer SaaS</w:t>
      </w:r>
    </w:p>
    <w:p>
      <w:pPr>
        <w:spacing w:after="200" w:before="200"/>
      </w:pPr>
    </w:p>
    <w:p>
      <w:pPr>
        <w:pStyle w:val="Heading2"/>
      </w:pPr>
      <w:r>
        <w:rPr>
          <w:b/>
          <w:bCs/>
        </w:rPr>
        <w:t xml:space="preserve">Company Profile</w:t>
      </w:r>
    </w:p>
    <w:p>
      <w:pPr>
        <w:spacing w:after="120"/>
      </w:pPr>
      <w:r>
        <w:rPr>
          <w:rFonts w:ascii="Arial" w:cs="Arial" w:eastAsia="Arial" w:hAnsi="Arial"/>
          <w:sz w:val="22"/>
          <w:szCs w:val="22"/>
        </w:rPr>
        <w:t xml:space="preserve">WriteFlow is a browser-based writing assistant that helps users draft emails, blog posts, and social media copy. Users type a prompt, Claude generates a draft, users edit and iterate. The product has a freemium tier (5 generations/day) and a Pro plan (£12/mo, unlimited).</w:t>
      </w:r>
    </w:p>
    <w:p>
      <w:pPr>
        <w:spacing w:after="120"/>
      </w:pPr>
      <w:r>
        <w:rPr>
          <w:rFonts w:ascii="Arial" w:cs="Arial" w:eastAsia="Arial" w:hAnsi="Arial"/>
          <w:sz w:val="22"/>
          <w:szCs w:val="22"/>
        </w:rPr>
        <w:t xml:space="preserve">Every time a user clicks “Generate” or “Rewrite,” that’s an API call. Primarily Haiku for quick drafts, Sonnet for longer-form content. Their 40K monthly active users generate roughly 2M API calls per month.</w:t>
      </w:r>
    </w:p>
    <w:p>
      <w:pPr>
        <w:pStyle w:val="Heading2"/>
      </w:pPr>
      <w:r>
        <w:rPr>
          <w:b/>
          <w:bCs/>
        </w:rPr>
        <w:t xml:space="preserve">Expected Growth Accounting Profile</w:t>
      </w:r>
    </w:p>
    <w:p>
      <w:pPr>
        <w:spacing w:after="120"/>
      </w:pPr>
      <w:r>
        <w:rPr>
          <w:rFonts w:ascii="Arial" w:cs="Arial" w:eastAsia="Arial" w:hAnsi="Arial"/>
          <w:sz w:val="22"/>
          <w:szCs w:val="22"/>
        </w:rPr>
        <w:t xml:space="preserve">Usage is directly tied to consumer behaviour. Students sign up during essay season and disappear. Marketers churn when budgets get cut. New users flood in after a viral TikTok post, then half leave within a month. The GA chart should be volatile — high new, high churn, with growth driven by acquisition, not retention.</w:t>
      </w:r>
    </w:p>
    <w:p>
      <w:pPr>
        <w:pStyle w:val="Heading3"/>
      </w:pPr>
      <w:r>
        <w:rPr>
          <w:b/>
          <w:bCs/>
        </w:rPr>
        <w:t xml:space="preserve">Benchmarks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22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Expected Range</w:t>
            </w:r>
          </w:p>
        </w:tc>
        <w:tc>
          <w:tcPr>
            <w:tcW w:type="dxa" w:w="436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Gross Retention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23–70%</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ChartMogul: AI products &lt;$50/mo show 23% GRR</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Net Dollar Retention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32–85%</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ChartMogul: median AI-native NDR is 48%</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Quick Ratio</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1.5–2.5x</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Tribe Capital: consumer discretionary below 2.0x typical</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Monthly Churn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4–8%</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Arcade.dev: B2C AI services average 4.04%</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LTV Curve Shape</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Sub-linear</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Tribe Capital: customers pay less in later months</w:t>
            </w:r>
          </w:p>
        </w:tc>
      </w:tr>
    </w:tbl>
    <w:p>
      <w:pPr>
        <w:spacing w:after="200" w:before="200"/>
      </w:pPr>
    </w:p>
    <w:p>
      <w:pPr>
        <w:pStyle w:val="Heading2"/>
      </w:pPr>
      <w:r>
        <w:rPr>
          <w:b/>
          <w:bCs/>
        </w:rPr>
        <w:t xml:space="preserve">What to Watch</w:t>
      </w:r>
    </w:p>
    <w:p>
      <w:pPr>
        <w:pStyle w:val="ListParagraph"/>
        <w:numPr>
          <w:ilvl w:val="0"/>
          <w:numId w:val="2"/>
        </w:numPr>
        <w:spacing w:after="60"/>
      </w:pPr>
      <w:r>
        <w:rPr>
          <w:rFonts w:ascii="Arial" w:cs="Arial" w:eastAsia="Arial" w:hAnsi="Arial"/>
          <w:sz w:val="22"/>
          <w:szCs w:val="22"/>
        </w:rPr>
        <w:t xml:space="preserve">Churn rate vs new acquisition rate. If churn exceeds new for 2+ consecutive months, the product is losing PMF.</w:t>
      </w:r>
    </w:p>
    <w:p>
      <w:pPr>
        <w:pStyle w:val="ListParagraph"/>
        <w:numPr>
          <w:ilvl w:val="0"/>
          <w:numId w:val="2"/>
        </w:numPr>
        <w:spacing w:after="60"/>
      </w:pPr>
      <w:r>
        <w:rPr>
          <w:rFonts w:ascii="Arial" w:cs="Arial" w:eastAsia="Arial" w:hAnsi="Arial"/>
          <w:sz w:val="22"/>
          <w:szCs w:val="22"/>
        </w:rPr>
        <w:t xml:space="preserve">M3-to-M12 retention: a16z’s framework argues that measuring from Month 3 (not Month 0) removes “AI tourists” and gives a truer picture of product-market fit.</w:t>
      </w:r>
    </w:p>
    <w:p>
      <w:pPr>
        <w:pStyle w:val="ListParagraph"/>
        <w:numPr>
          <w:ilvl w:val="0"/>
          <w:numId w:val="2"/>
        </w:numPr>
        <w:spacing w:after="60"/>
      </w:pPr>
      <w:r>
        <w:rPr>
          <w:rFonts w:ascii="Arial" w:cs="Arial" w:eastAsia="Arial" w:hAnsi="Arial"/>
          <w:sz w:val="22"/>
          <w:szCs w:val="22"/>
        </w:rPr>
        <w:t xml:space="preserve">Free-to-paid conversion above 3% is a positive signal (Arcade.dev: only 3% convert globally for ChatGPT).</w:t>
      </w:r>
    </w:p>
    <w:p>
      <w:pPr>
        <w:pStyle w:val="ListParagraph"/>
        <w:numPr>
          <w:ilvl w:val="0"/>
          <w:numId w:val="2"/>
        </w:numPr>
        <w:spacing w:after="60"/>
      </w:pPr>
      <w:r>
        <w:rPr>
          <w:rFonts w:ascii="Arial" w:cs="Arial" w:eastAsia="Arial" w:hAnsi="Arial"/>
          <w:sz w:val="22"/>
          <w:szCs w:val="22"/>
        </w:rPr>
        <w:t xml:space="preserve">Model mix shift toward Sonnet signals premium feature adoption and higher revenue per user.</w:t>
      </w:r>
    </w:p>
    <w:p>
      <w:pPr>
        <w:pStyle w:val="ListParagraph"/>
        <w:numPr>
          <w:ilvl w:val="0"/>
          <w:numId w:val="2"/>
        </w:numPr>
        <w:spacing w:after="60"/>
      </w:pPr>
      <w:r>
        <w:rPr>
          <w:rFonts w:ascii="Arial" w:cs="Arial" w:eastAsia="Arial" w:hAnsi="Arial"/>
          <w:sz w:val="22"/>
          <w:szCs w:val="22"/>
        </w:rPr>
        <w:t xml:space="preserve">DAU/MAU above 30% indicates genuine daily engagement (ChatGPT is at 36% per Arcade.dev).</w:t>
      </w:r>
    </w:p>
    <w:p>
      <w:pPr>
        <w:pStyle w:val="Heading3"/>
      </w:pPr>
      <w:r>
        <w:rPr>
          <w:b/>
          <w:bCs/>
        </w:rPr>
        <w:t xml:space="preserve">Red Flags</w:t>
      </w:r>
    </w:p>
    <w:p>
      <w:pPr>
        <w:pStyle w:val="ListParagraph"/>
        <w:numPr>
          <w:ilvl w:val="0"/>
          <w:numId w:val="2"/>
        </w:numPr>
        <w:spacing w:after="60"/>
      </w:pPr>
      <w:r>
        <w:rPr>
          <w:rFonts w:ascii="Arial" w:cs="Arial" w:eastAsia="Arial" w:hAnsi="Arial"/>
          <w:sz w:val="22"/>
          <w:szCs w:val="22"/>
        </w:rPr>
        <w:t xml:space="preserve">GRR below 30% — most users churning within first 3 months</w:t>
      </w:r>
    </w:p>
    <w:p>
      <w:pPr>
        <w:pStyle w:val="ListParagraph"/>
        <w:numPr>
          <w:ilvl w:val="0"/>
          <w:numId w:val="2"/>
        </w:numPr>
        <w:spacing w:after="60"/>
      </w:pPr>
      <w:r>
        <w:rPr>
          <w:rFonts w:ascii="Arial" w:cs="Arial" w:eastAsia="Arial" w:hAnsi="Arial"/>
          <w:sz w:val="22"/>
          <w:szCs w:val="22"/>
        </w:rPr>
        <w:t xml:space="preserve">Quick Ratio below 1.5 — revenue declining or barely growing</w:t>
      </w:r>
    </w:p>
    <w:p>
      <w:pPr>
        <w:pStyle w:val="ListParagraph"/>
        <w:numPr>
          <w:ilvl w:val="0"/>
          <w:numId w:val="2"/>
        </w:numPr>
        <w:spacing w:after="60"/>
      </w:pPr>
      <w:r>
        <w:rPr>
          <w:rFonts w:ascii="Arial" w:cs="Arial" w:eastAsia="Arial" w:hAnsi="Arial"/>
          <w:sz w:val="22"/>
          <w:szCs w:val="22"/>
        </w:rPr>
        <w:t xml:space="preserve">Growth entirely dependent on new acquisition with no retained base</w:t>
      </w:r>
    </w:p>
    <w:p>
      <w:pPr>
        <w:pStyle w:val="ListParagraph"/>
        <w:numPr>
          <w:ilvl w:val="0"/>
          <w:numId w:val="2"/>
        </w:numPr>
        <w:spacing w:after="60"/>
      </w:pPr>
      <w:r>
        <w:rPr>
          <w:rFonts w:ascii="Arial" w:cs="Arial" w:eastAsia="Arial" w:hAnsi="Arial"/>
          <w:sz w:val="22"/>
          <w:szCs w:val="22"/>
        </w:rPr>
        <w:t xml:space="preserve">NDR below 40% at any price point</w:t>
      </w:r>
    </w:p>
    <w:p>
      <w:r>
        <w:br w:type="page"/>
      </w:r>
    </w:p>
    <w:p>
      <w:pPr>
        <w:pStyle w:val="Heading1"/>
      </w:pPr>
      <w:r>
        <w:rPr>
          <w:b/>
          <w:bCs/>
        </w:rPr>
        <w:t xml:space="preserve">Case Study 2: FinLedger — Internal Developer Tooling</w:t>
      </w:r>
    </w:p>
    <w:p>
      <w:pPr>
        <w:spacing w:after="100"/>
      </w:pPr>
      <w:r>
        <w:rPr>
          <w:rFonts w:ascii="Arial" w:cs="Arial" w:eastAsia="Arial" w:hAnsi="Arial"/>
          <w:b/>
          <w:bCs/>
          <w:sz w:val="22"/>
          <w:szCs w:val="22"/>
        </w:rPr>
        <w:t xml:space="preserve">Stage: </w:t>
      </w:r>
      <w:r>
        <w:rPr>
          <w:rFonts w:ascii="Arial" w:cs="Arial" w:eastAsia="Arial" w:hAnsi="Arial"/>
          <w:sz w:val="22"/>
          <w:szCs w:val="22"/>
        </w:rPr>
        <w:t xml:space="preserve">Seed · HQ: Berlin · Team: 6 people (4 engineers) · Vertical: Fintech</w:t>
      </w:r>
    </w:p>
    <w:p>
      <w:pPr>
        <w:spacing w:after="200" w:before="200"/>
      </w:pPr>
    </w:p>
    <w:p>
      <w:pPr>
        <w:pStyle w:val="Heading2"/>
      </w:pPr>
      <w:r>
        <w:rPr>
          <w:b/>
          <w:bCs/>
        </w:rPr>
        <w:t xml:space="preserve">Company Profile</w:t>
      </w:r>
    </w:p>
    <w:p>
      <w:pPr>
        <w:spacing w:after="120"/>
      </w:pPr>
      <w:r>
        <w:rPr>
          <w:rFonts w:ascii="Arial" w:cs="Arial" w:eastAsia="Arial" w:hAnsi="Arial"/>
          <w:sz w:val="22"/>
          <w:szCs w:val="22"/>
        </w:rPr>
        <w:t xml:space="preserve">FinLedger builds accounting automation for European SMEs. Their product has nothing to do with AI — it’s a bookkeeping tool. But their engineering team uses Claude’s API daily: reviewing pull requests, generating unit tests, writing documentation, and debugging. They have 4 API keys (one per engineer).</w:t>
      </w:r>
    </w:p>
    <w:p>
      <w:pPr>
        <w:spacing w:after="120"/>
      </w:pPr>
      <w:r>
        <w:rPr>
          <w:rFonts w:ascii="Arial" w:cs="Arial" w:eastAsia="Arial" w:hAnsi="Arial"/>
          <w:sz w:val="22"/>
          <w:szCs w:val="22"/>
        </w:rPr>
        <w:t xml:space="preserve">Engineers paste code into internal tools that call Claude’s API. Sonnet for code review (needs reasoning quality), Haiku for test boilerplate. Usage is steady Monday–Friday, drops on weekends. Approximately 50K API calls per month.</w:t>
      </w:r>
    </w:p>
    <w:p>
      <w:pPr>
        <w:pStyle w:val="Heading2"/>
      </w:pPr>
      <w:r>
        <w:rPr>
          <w:b/>
          <w:bCs/>
        </w:rPr>
        <w:t xml:space="preserve">Why Traditional GA Doesn’t Fully Apply</w:t>
      </w:r>
    </w:p>
    <w:p>
      <w:pPr>
        <w:spacing w:after="120"/>
      </w:pPr>
      <w:r>
        <w:rPr>
          <w:rFonts w:ascii="Arial" w:cs="Arial" w:eastAsia="Arial" w:hAnsi="Arial"/>
          <w:sz w:val="22"/>
          <w:szCs w:val="22"/>
        </w:rPr>
        <w:t xml:space="preserve">With 3–10 users, standard growth accounting metrics produce statistically meaningless noise. There’s no distribution of customers sufficient for cohort analysis. Retention is binary — either the team uses it or they switch tools entirely.</w:t>
      </w:r>
    </w:p>
    <w:p>
      <w:pPr>
        <w:spacing w:after="120"/>
      </w:pPr>
      <w:r>
        <w:rPr>
          <w:rFonts w:ascii="Arial" w:cs="Arial" w:eastAsia="Arial" w:hAnsi="Arial"/>
          <w:sz w:val="22"/>
          <w:szCs w:val="22"/>
        </w:rPr>
        <w:t xml:space="preserve">The value story for FinLedger is better told through the revenue trend line (flat and sticky) and the step-function expansions when they adopt a new Claude use case (CI pipeline at month 9, documentation generation at month 16).</w:t>
      </w:r>
    </w:p>
    <w:p>
      <w:pPr>
        <w:pStyle w:val="Heading3"/>
      </w:pPr>
      <w:r>
        <w:rPr>
          <w:b/>
          <w:bCs/>
        </w:rPr>
        <w:t xml:space="preserve">What to Measure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22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Expected Range</w:t>
            </w:r>
          </w:p>
        </w:tc>
        <w:tc>
          <w:tcPr>
            <w:tcW w:type="dxa" w:w="436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API calls/dev/week</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Increasing trend</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Usage intensity = engagement proxy</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 of team active</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80–100%</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GitHub Copilot: 96% same-day retention</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Week-over-week trend</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Flat or growing</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Equivalent to QR for small teams</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Usage concentration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Distributed</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Single-dev dependency = bus factor risk</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Monthly spend growth</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5–15% MoM</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Twilio historical NDR: 136–140%</w:t>
            </w:r>
          </w:p>
        </w:tc>
      </w:tr>
    </w:tbl>
    <w:p>
      <w:pPr>
        <w:spacing w:after="200" w:before="200"/>
      </w:pPr>
    </w:p>
    <w:p>
      <w:pPr>
        <w:pStyle w:val="Heading2"/>
      </w:pPr>
      <w:r>
        <w:rPr>
          <w:b/>
          <w:bCs/>
        </w:rPr>
        <w:t xml:space="preserve">What to Watch</w:t>
      </w:r>
    </w:p>
    <w:p>
      <w:pPr>
        <w:pStyle w:val="ListParagraph"/>
        <w:numPr>
          <w:ilvl w:val="0"/>
          <w:numId w:val="2"/>
        </w:numPr>
        <w:spacing w:after="60"/>
      </w:pPr>
      <w:r>
        <w:rPr>
          <w:rFonts w:ascii="Arial" w:cs="Arial" w:eastAsia="Arial" w:hAnsi="Arial"/>
          <w:sz w:val="22"/>
          <w:szCs w:val="22"/>
        </w:rPr>
        <w:t xml:space="preserve">Step-function jumps in usage = new use case adopted. This is the primary expansion signal.</w:t>
      </w:r>
    </w:p>
    <w:p>
      <w:pPr>
        <w:pStyle w:val="ListParagraph"/>
        <w:numPr>
          <w:ilvl w:val="0"/>
          <w:numId w:val="2"/>
        </w:numPr>
        <w:spacing w:after="60"/>
      </w:pPr>
      <w:r>
        <w:rPr>
          <w:rFonts w:ascii="Arial" w:cs="Arial" w:eastAsia="Arial" w:hAnsi="Arial"/>
          <w:sz w:val="22"/>
          <w:szCs w:val="22"/>
        </w:rPr>
        <w:t xml:space="preserve">Active developer ratio dropping below 50% = half the team stopped using it.</w:t>
      </w:r>
    </w:p>
    <w:p>
      <w:pPr>
        <w:pStyle w:val="ListParagraph"/>
        <w:numPr>
          <w:ilvl w:val="0"/>
          <w:numId w:val="2"/>
        </w:numPr>
        <w:spacing w:after="60"/>
      </w:pPr>
      <w:r>
        <w:rPr>
          <w:rFonts w:ascii="Arial" w:cs="Arial" w:eastAsia="Arial" w:hAnsi="Arial"/>
          <w:sz w:val="22"/>
          <w:szCs w:val="22"/>
        </w:rPr>
        <w:t xml:space="preserve">Usage concentrated in a single developer = bus factor risk, not genuine team adoption.</w:t>
      </w:r>
    </w:p>
    <w:p>
      <w:pPr>
        <w:pStyle w:val="ListParagraph"/>
        <w:numPr>
          <w:ilvl w:val="0"/>
          <w:numId w:val="2"/>
        </w:numPr>
        <w:spacing w:after="60"/>
      </w:pPr>
      <w:r>
        <w:rPr>
          <w:rFonts w:ascii="Arial" w:cs="Arial" w:eastAsia="Arial" w:hAnsi="Arial"/>
          <w:sz w:val="22"/>
          <w:szCs w:val="22"/>
        </w:rPr>
        <w:t xml:space="preserve">Team experimenting with alternative tools (GitHub Copilot, Cursor) = competitive pressure.</w:t>
      </w:r>
    </w:p>
    <w:p>
      <w:pPr>
        <w:pStyle w:val="ListParagraph"/>
        <w:numPr>
          <w:ilvl w:val="0"/>
          <w:numId w:val="2"/>
        </w:numPr>
        <w:spacing w:after="60"/>
      </w:pPr>
      <w:r>
        <w:rPr>
          <w:rFonts w:ascii="Arial" w:cs="Arial" w:eastAsia="Arial" w:hAnsi="Arial"/>
          <w:sz w:val="22"/>
          <w:szCs w:val="22"/>
        </w:rPr>
        <w:t xml:space="preserve">Cost per useful output rising = more API calls needed for same result, efficiency declining.</w:t>
      </w:r>
    </w:p>
    <w:p>
      <w:pPr>
        <w:pStyle w:val="Heading3"/>
      </w:pPr>
      <w:r>
        <w:rPr>
          <w:b/>
          <w:bCs/>
        </w:rPr>
        <w:t xml:space="preserve">Green Flags</w:t>
      </w:r>
    </w:p>
    <w:p>
      <w:pPr>
        <w:pStyle w:val="ListParagraph"/>
        <w:numPr>
          <w:ilvl w:val="0"/>
          <w:numId w:val="2"/>
        </w:numPr>
        <w:spacing w:after="60"/>
      </w:pPr>
      <w:r>
        <w:rPr>
          <w:rFonts w:ascii="Arial" w:cs="Arial" w:eastAsia="Arial" w:hAnsi="Arial"/>
          <w:sz w:val="22"/>
          <w:szCs w:val="22"/>
        </w:rPr>
        <w:t xml:space="preserve">All team members making API calls weekly (100% activation)</w:t>
      </w:r>
    </w:p>
    <w:p>
      <w:pPr>
        <w:pStyle w:val="ListParagraph"/>
        <w:numPr>
          <w:ilvl w:val="0"/>
          <w:numId w:val="2"/>
        </w:numPr>
        <w:spacing w:after="60"/>
      </w:pPr>
      <w:r>
        <w:rPr>
          <w:rFonts w:ascii="Arial" w:cs="Arial" w:eastAsia="Arial" w:hAnsi="Arial"/>
          <w:sz w:val="22"/>
          <w:szCs w:val="22"/>
        </w:rPr>
        <w:t xml:space="preserve">New use cases emerging organically (started with code review, now docs + tests)</w:t>
      </w:r>
    </w:p>
    <w:p>
      <w:pPr>
        <w:pStyle w:val="ListParagraph"/>
        <w:numPr>
          <w:ilvl w:val="0"/>
          <w:numId w:val="2"/>
        </w:numPr>
        <w:spacing w:after="60"/>
      </w:pPr>
      <w:r>
        <w:rPr>
          <w:rFonts w:ascii="Arial" w:cs="Arial" w:eastAsia="Arial" w:hAnsi="Arial"/>
          <w:sz w:val="22"/>
          <w:szCs w:val="22"/>
        </w:rPr>
        <w:t xml:space="preserve">Tool integrated into CI/CD pipelines (systematic, not ad-hoc)</w:t>
      </w:r>
    </w:p>
    <w:p>
      <w:pPr>
        <w:pStyle w:val="ListParagraph"/>
        <w:numPr>
          <w:ilvl w:val="0"/>
          <w:numId w:val="2"/>
        </w:numPr>
        <w:spacing w:after="60"/>
      </w:pPr>
      <w:r>
        <w:rPr>
          <w:rFonts w:ascii="Arial" w:cs="Arial" w:eastAsia="Arial" w:hAnsi="Arial"/>
          <w:sz w:val="22"/>
          <w:szCs w:val="22"/>
        </w:rPr>
        <w:t xml:space="preserve">Team requesting budget increases for higher API tier</w:t>
      </w:r>
    </w:p>
    <w:p>
      <w:r>
        <w:br w:type="page"/>
      </w:r>
    </w:p>
    <w:p>
      <w:pPr>
        <w:pStyle w:val="Heading1"/>
      </w:pPr>
      <w:r>
        <w:rPr>
          <w:b/>
          <w:bCs/>
        </w:rPr>
        <w:t xml:space="preserve">Case Study 3: BrieflyAI — B2B Meeting Summarisation</w:t>
      </w:r>
    </w:p>
    <w:p>
      <w:pPr>
        <w:spacing w:after="100"/>
      </w:pPr>
      <w:r>
        <w:rPr>
          <w:rFonts w:ascii="Arial" w:cs="Arial" w:eastAsia="Arial" w:hAnsi="Arial"/>
          <w:b/>
          <w:bCs/>
          <w:sz w:val="22"/>
          <w:szCs w:val="22"/>
        </w:rPr>
        <w:t xml:space="preserve">Stage: </w:t>
      </w:r>
      <w:r>
        <w:rPr>
          <w:rFonts w:ascii="Arial" w:cs="Arial" w:eastAsia="Arial" w:hAnsi="Arial"/>
          <w:sz w:val="22"/>
          <w:szCs w:val="22"/>
        </w:rPr>
        <w:t xml:space="preserve">Series A · HQ: Amsterdam · Team: 22 people · Vertical: Enterprise Productivity</w:t>
      </w:r>
    </w:p>
    <w:p>
      <w:pPr>
        <w:spacing w:after="200" w:before="200"/>
      </w:pPr>
    </w:p>
    <w:p>
      <w:pPr>
        <w:pStyle w:val="Heading2"/>
      </w:pPr>
      <w:r>
        <w:rPr>
          <w:b/>
          <w:bCs/>
        </w:rPr>
        <w:t xml:space="preserve">Company Profile</w:t>
      </w:r>
    </w:p>
    <w:p>
      <w:pPr>
        <w:spacing w:after="120"/>
      </w:pPr>
      <w:r>
        <w:rPr>
          <w:rFonts w:ascii="Arial" w:cs="Arial" w:eastAsia="Arial" w:hAnsi="Arial"/>
          <w:sz w:val="22"/>
          <w:szCs w:val="22"/>
        </w:rPr>
        <w:t xml:space="preserve">BrieflyAI records and transcribes business meetings, then uses Claude to generate structured summaries with action items, decisions, and follow-ups. Sold to companies on a per-seat basis (£15/seat/month). Their clients are mid-market firms with 20–200 employees. 45 enterprise clients running approximately 3,000 meetings per week.</w:t>
      </w:r>
    </w:p>
    <w:p>
      <w:pPr>
        <w:spacing w:after="120"/>
      </w:pPr>
      <w:r>
        <w:rPr>
          <w:rFonts w:ascii="Arial" w:cs="Arial" w:eastAsia="Arial" w:hAnsi="Arial"/>
          <w:sz w:val="22"/>
          <w:szCs w:val="22"/>
        </w:rPr>
        <w:t xml:space="preserve">After every meeting ends, the transcript is sent to Claude (Sonnet for quality). A 30-minute meeting generates roughly 8K tokens of transcript producing 2K tokens of structured output.</w:t>
      </w:r>
    </w:p>
    <w:p>
      <w:pPr>
        <w:pStyle w:val="Heading2"/>
      </w:pPr>
      <w:r>
        <w:rPr>
          <w:b/>
          <w:bCs/>
        </w:rPr>
        <w:t xml:space="preserve">Expected Growth Accounting Profile</w:t>
      </w:r>
    </w:p>
    <w:p>
      <w:pPr>
        <w:spacing w:after="120"/>
      </w:pPr>
      <w:r>
        <w:rPr>
          <w:rFonts w:ascii="Arial" w:cs="Arial" w:eastAsia="Arial" w:hAnsi="Arial"/>
          <w:sz w:val="22"/>
          <w:szCs w:val="22"/>
        </w:rPr>
        <w:t xml:space="preserve">Each enterprise client represents a block of predictable, recurring API usage. When BrieflyAI wins a new client, it shows as a step-function increase in revenue. When a client cancels (rare — the summaries become part of their workflow), it’s a visible cliff. The GA chart shows high retained revenue, occasional large expansion events, very low churn, and super-linear LTV curves.</w:t>
      </w:r>
    </w:p>
    <w:p>
      <w:pPr>
        <w:spacing w:after="120"/>
      </w:pPr>
      <w:r>
        <w:rPr>
          <w:rFonts w:ascii="Arial" w:cs="Arial" w:eastAsia="Arial" w:hAnsi="Arial"/>
          <w:sz w:val="22"/>
          <w:szCs w:val="22"/>
        </w:rPr>
        <w:t xml:space="preserve">This is Tribe Capital’s canonical example of a healthy B2B SaaS profile: growth rate of ~10% composed of 9% new + 4% expansion - 4% contraction - 0% churn, with negative net churn meaning the existing base grows without any new logos.</w:t>
      </w:r>
    </w:p>
    <w:p>
      <w:pPr>
        <w:pStyle w:val="Heading3"/>
      </w:pPr>
      <w:r>
        <w:rPr>
          <w:b/>
          <w:bCs/>
        </w:rPr>
        <w:t xml:space="preserve">Benchmarks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22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Expected Range</w:t>
            </w:r>
          </w:p>
        </w:tc>
        <w:tc>
          <w:tcPr>
            <w:tcW w:type="dxa" w:w="436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Gross Retention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90–95%</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SaaS Capital: median B2B SaaS GRR 91%</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Net Dollar Retention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105–120%</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SaaS Capital: enterprise ACV &gt;$100k median 110–118%</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Quick Ratio</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4.0–8.0x</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Mamoon Hamid/Social Capital benchmark for B2B</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Annual Logo Churn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5–10%</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SaaS Capital: enterprise contracts are sticky</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LTV Curve Shape</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Super-linear</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Tribe Capital: cohort revenue increases with age</w:t>
            </w:r>
          </w:p>
        </w:tc>
      </w:tr>
    </w:tbl>
    <w:p>
      <w:pPr>
        <w:spacing w:after="200" w:before="200"/>
      </w:pPr>
    </w:p>
    <w:p>
      <w:pPr>
        <w:pStyle w:val="Heading2"/>
      </w:pPr>
      <w:r>
        <w:rPr>
          <w:b/>
          <w:bCs/>
        </w:rPr>
        <w:t xml:space="preserve">What to Watch</w:t>
      </w:r>
    </w:p>
    <w:p>
      <w:pPr>
        <w:pStyle w:val="ListParagraph"/>
        <w:numPr>
          <w:ilvl w:val="0"/>
          <w:numId w:val="2"/>
        </w:numPr>
        <w:spacing w:after="60"/>
      </w:pPr>
      <w:r>
        <w:rPr>
          <w:rFonts w:ascii="Arial" w:cs="Arial" w:eastAsia="Arial" w:hAnsi="Arial"/>
          <w:sz w:val="22"/>
          <w:szCs w:val="22"/>
        </w:rPr>
        <w:t xml:space="preserve">Client acquisition cadence — are step-functions getting bigger or smaller over time?</w:t>
      </w:r>
    </w:p>
    <w:p>
      <w:pPr>
        <w:pStyle w:val="ListParagraph"/>
        <w:numPr>
          <w:ilvl w:val="0"/>
          <w:numId w:val="2"/>
        </w:numPr>
        <w:spacing w:after="60"/>
      </w:pPr>
      <w:r>
        <w:rPr>
          <w:rFonts w:ascii="Arial" w:cs="Arial" w:eastAsia="Arial" w:hAnsi="Arial"/>
          <w:sz w:val="22"/>
          <w:szCs w:val="22"/>
        </w:rPr>
        <w:t xml:space="preserve">Seat expansion within accounts — are existing clients deploying to more teams without active sales effort?</w:t>
      </w:r>
    </w:p>
    <w:p>
      <w:pPr>
        <w:pStyle w:val="ListParagraph"/>
        <w:numPr>
          <w:ilvl w:val="0"/>
          <w:numId w:val="2"/>
        </w:numPr>
        <w:spacing w:after="60"/>
      </w:pPr>
      <w:r>
        <w:rPr>
          <w:rFonts w:ascii="Arial" w:cs="Arial" w:eastAsia="Arial" w:hAnsi="Arial"/>
          <w:sz w:val="22"/>
          <w:szCs w:val="22"/>
        </w:rPr>
        <w:t xml:space="preserve">Model mix trending toward Opus = handling more complex, longer meetings. Revenue expansion without volume change.</w:t>
      </w:r>
    </w:p>
    <w:p>
      <w:pPr>
        <w:pStyle w:val="ListParagraph"/>
        <w:numPr>
          <w:ilvl w:val="0"/>
          <w:numId w:val="2"/>
        </w:numPr>
        <w:spacing w:after="60"/>
      </w:pPr>
      <w:r>
        <w:rPr>
          <w:rFonts w:ascii="Arial" w:cs="Arial" w:eastAsia="Arial" w:hAnsi="Arial"/>
          <w:sz w:val="22"/>
          <w:szCs w:val="22"/>
        </w:rPr>
        <w:t xml:space="preserve">Any churn cliff = lost enterprise client. Investigate immediately — rare events carry outsized signal.</w:t>
      </w:r>
    </w:p>
    <w:p>
      <w:pPr>
        <w:pStyle w:val="ListParagraph"/>
        <w:numPr>
          <w:ilvl w:val="0"/>
          <w:numId w:val="2"/>
        </w:numPr>
        <w:spacing w:after="60"/>
      </w:pPr>
      <w:r>
        <w:rPr>
          <w:rFonts w:ascii="Arial" w:cs="Arial" w:eastAsia="Arial" w:hAnsi="Arial"/>
          <w:sz w:val="22"/>
          <w:szCs w:val="22"/>
        </w:rPr>
        <w:t xml:space="preserve">NDR above 110% confirms the land-and-expand motion is working.</w:t>
      </w:r>
    </w:p>
    <w:p>
      <w:pPr>
        <w:pStyle w:val="Heading3"/>
      </w:pPr>
      <w:r>
        <w:rPr>
          <w:b/>
          <w:bCs/>
        </w:rPr>
        <w:t xml:space="preserve">Red Flags</w:t>
      </w:r>
    </w:p>
    <w:p>
      <w:pPr>
        <w:pStyle w:val="ListParagraph"/>
        <w:numPr>
          <w:ilvl w:val="0"/>
          <w:numId w:val="2"/>
        </w:numPr>
        <w:spacing w:after="60"/>
      </w:pPr>
      <w:r>
        <w:rPr>
          <w:rFonts w:ascii="Arial" w:cs="Arial" w:eastAsia="Arial" w:hAnsi="Arial"/>
          <w:sz w:val="22"/>
          <w:szCs w:val="22"/>
        </w:rPr>
        <w:t xml:space="preserve">GRR falling below 85% — below SaaS Capital median, signals product issues</w:t>
      </w:r>
    </w:p>
    <w:p>
      <w:pPr>
        <w:pStyle w:val="ListParagraph"/>
        <w:numPr>
          <w:ilvl w:val="0"/>
          <w:numId w:val="2"/>
        </w:numPr>
        <w:spacing w:after="60"/>
      </w:pPr>
      <w:r>
        <w:rPr>
          <w:rFonts w:ascii="Arial" w:cs="Arial" w:eastAsia="Arial" w:hAnsi="Arial"/>
          <w:sz w:val="22"/>
          <w:szCs w:val="22"/>
        </w:rPr>
        <w:t xml:space="preserve">NDR below 100% — existing base shrinking, enterprise products should be expanding</w:t>
      </w:r>
    </w:p>
    <w:p>
      <w:pPr>
        <w:pStyle w:val="ListParagraph"/>
        <w:numPr>
          <w:ilvl w:val="0"/>
          <w:numId w:val="2"/>
        </w:numPr>
        <w:spacing w:after="60"/>
      </w:pPr>
      <w:r>
        <w:rPr>
          <w:rFonts w:ascii="Arial" w:cs="Arial" w:eastAsia="Arial" w:hAnsi="Arial"/>
          <w:sz w:val="22"/>
          <w:szCs w:val="22"/>
        </w:rPr>
        <w:t xml:space="preserve">Revenue concentration: top 5% of clients generating &gt;50% of revenue creates dangerous dependency</w:t>
      </w:r>
    </w:p>
    <w:p>
      <w:pPr>
        <w:pStyle w:val="ListParagraph"/>
        <w:numPr>
          <w:ilvl w:val="0"/>
          <w:numId w:val="2"/>
        </w:numPr>
        <w:spacing w:after="60"/>
      </w:pPr>
      <w:r>
        <w:rPr>
          <w:rFonts w:ascii="Arial" w:cs="Arial" w:eastAsia="Arial" w:hAnsi="Arial"/>
          <w:sz w:val="22"/>
          <w:szCs w:val="22"/>
        </w:rPr>
        <w:t xml:space="preserve">Quick Ratio below 2.0 (Tribe Capital flags this as concerning for B2B)</w:t>
      </w:r>
    </w:p>
    <w:p>
      <w:r>
        <w:br w:type="page"/>
      </w:r>
    </w:p>
    <w:p>
      <w:pPr>
        <w:pStyle w:val="Heading1"/>
      </w:pPr>
      <w:r>
        <w:rPr>
          <w:b/>
          <w:bCs/>
        </w:rPr>
        <w:t xml:space="preserve">Cross-Use-Case Comparison</w:t>
      </w:r>
    </w:p>
    <w:p>
      <w:pPr>
        <w:spacing w:after="120"/>
      </w:pPr>
      <w:r>
        <w:rPr>
          <w:rFonts w:ascii="Arial" w:cs="Arial" w:eastAsia="Arial" w:hAnsi="Arial"/>
          <w:sz w:val="22"/>
          <w:szCs w:val="22"/>
        </w:rPr>
        <w:t xml:space="preserve">The table below summarises how the same metrics carry different interpretations across the three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42"/>
        <w:gridCol w:w="2342"/>
        <w:gridCol w:w="2342"/>
      </w:tblGrid>
      <w:tr>
        <w:tc>
          <w:tcPr>
            <w:tcW w:type="dxa" w:w="2000"/>
            <w:tcBorders>
              <w:top w:val="single" w:color="CCCCCC" w:sz="1"/>
              <w:left w:val="single" w:color="CCCCCC" w:sz="1"/>
              <w:bottom w:val="single" w:color="CCCCCC" w:sz="1"/>
              <w:right w:val="single" w:color="CCCCCC" w:sz="1"/>
            </w:tcBorders>
            <w:shd w:fill="2B3544"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2342"/>
            <w:tcBorders>
              <w:top w:val="single" w:color="CCCCCC" w:sz="1"/>
              <w:left w:val="single" w:color="CCCCCC" w:sz="1"/>
              <w:bottom w:val="single" w:color="CCCCCC" w:sz="1"/>
              <w:right w:val="single" w:color="CCCCCC" w:sz="1"/>
            </w:tcBorders>
            <w:shd w:fill="2B3544" w:val="clear"/>
            <w:tcMar>
              <w:top w:type="dxa" w:w="50"/>
              <w:left w:type="dxa" w:w="80"/>
              <w:bottom w:type="dxa" w:w="50"/>
              <w:right w:type="dxa" w:w="80"/>
            </w:tcMar>
          </w:tcPr>
          <w:p>
            <w:r>
              <w:rPr>
                <w:rFonts w:ascii="Arial" w:cs="Arial" w:eastAsia="Arial" w:hAnsi="Arial"/>
                <w:b/>
                <w:bCs/>
                <w:color w:val="FFFFFF"/>
                <w:sz w:val="18"/>
                <w:szCs w:val="18"/>
              </w:rPr>
              <w:t xml:space="preserve">Consumer (WriteFlow)</w:t>
            </w:r>
          </w:p>
        </w:tc>
        <w:tc>
          <w:tcPr>
            <w:tcW w:type="dxa" w:w="2342"/>
            <w:tcBorders>
              <w:top w:val="single" w:color="CCCCCC" w:sz="1"/>
              <w:left w:val="single" w:color="CCCCCC" w:sz="1"/>
              <w:bottom w:val="single" w:color="CCCCCC" w:sz="1"/>
              <w:right w:val="single" w:color="CCCCCC" w:sz="1"/>
            </w:tcBorders>
            <w:shd w:fill="2B3544" w:val="clear"/>
            <w:tcMar>
              <w:top w:type="dxa" w:w="50"/>
              <w:left w:type="dxa" w:w="80"/>
              <w:bottom w:type="dxa" w:w="50"/>
              <w:right w:type="dxa" w:w="80"/>
            </w:tcMar>
          </w:tcPr>
          <w:p>
            <w:r>
              <w:rPr>
                <w:rFonts w:ascii="Arial" w:cs="Arial" w:eastAsia="Arial" w:hAnsi="Arial"/>
                <w:b/>
                <w:bCs/>
                <w:color w:val="FFFFFF"/>
                <w:sz w:val="18"/>
                <w:szCs w:val="18"/>
              </w:rPr>
              <w:t xml:space="preserve">Dev Tooling (FinLedger)</w:t>
            </w:r>
          </w:p>
        </w:tc>
        <w:tc>
          <w:tcPr>
            <w:tcW w:type="dxa" w:w="2342"/>
            <w:tcBorders>
              <w:top w:val="single" w:color="CCCCCC" w:sz="1"/>
              <w:left w:val="single" w:color="CCCCCC" w:sz="1"/>
              <w:bottom w:val="single" w:color="CCCCCC" w:sz="1"/>
              <w:right w:val="single" w:color="CCCCCC" w:sz="1"/>
            </w:tcBorders>
            <w:shd w:fill="2B3544" w:val="clear"/>
            <w:tcMar>
              <w:top w:type="dxa" w:w="50"/>
              <w:left w:type="dxa" w:w="80"/>
              <w:bottom w:type="dxa" w:w="50"/>
              <w:right w:type="dxa" w:w="80"/>
            </w:tcMar>
          </w:tcPr>
          <w:p>
            <w:r>
              <w:rPr>
                <w:rFonts w:ascii="Arial" w:cs="Arial" w:eastAsia="Arial" w:hAnsi="Arial"/>
                <w:b/>
                <w:bCs/>
                <w:color w:val="FFFFFF"/>
                <w:sz w:val="18"/>
                <w:szCs w:val="18"/>
              </w:rPr>
              <w:t xml:space="preserve">B2B Enterprise (BrieflyAI)</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Gross Retention</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23–70%</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~100% (binary)</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90–95%</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NDR</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32–85%</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N/A (usage proxy)</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105–120%</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Quick Ratio</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1.5–2.5x</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N/A</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4.0x+ target</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LTV Curve</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Sub-linear</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Linear to mild super-linear</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Super-linear</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Growth Driver</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New user acquisition</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Deepening usage/dev</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Seat expansion</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Primary Risk</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Churn &gt; acquisition</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Binary tool-switch</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Account concentration</w:t>
            </w:r>
          </w:p>
        </w:tc>
      </w:tr>
    </w:tbl>
    <w:p>
      <w:pPr>
        <w:spacing w:after="200" w:before="200"/>
      </w:pPr>
    </w:p>
    <w:p>
      <w:pPr>
        <w:pStyle w:val="Heading1"/>
      </w:pPr>
      <w:r>
        <w:rPr>
          <w:b/>
          <w:bCs/>
        </w:rPr>
        <w:t xml:space="preserve">Sources</w:t>
      </w:r>
    </w:p>
    <w:p>
      <w:pPr>
        <w:pStyle w:val="ListParagraph"/>
        <w:numPr>
          <w:ilvl w:val="0"/>
          <w:numId w:val="2"/>
        </w:numPr>
        <w:spacing w:after="60"/>
      </w:pPr>
      <w:r>
        <w:rPr>
          <w:rFonts w:ascii="Arial" w:cs="Arial" w:eastAsia="Arial" w:hAnsi="Arial"/>
          <w:sz w:val="22"/>
          <w:szCs w:val="22"/>
        </w:rPr>
        <w:t xml:space="preserve">Tribe Capital — “A Quantitative Approach to Product-Market Fit” (tribecap.co)</w:t>
      </w:r>
    </w:p>
    <w:p>
      <w:pPr>
        <w:pStyle w:val="ListParagraph"/>
        <w:numPr>
          <w:ilvl w:val="0"/>
          <w:numId w:val="2"/>
        </w:numPr>
        <w:spacing w:after="60"/>
      </w:pPr>
      <w:r>
        <w:rPr>
          <w:rFonts w:ascii="Arial" w:cs="Arial" w:eastAsia="Arial" w:hAnsi="Arial"/>
          <w:sz w:val="22"/>
          <w:szCs w:val="22"/>
        </w:rPr>
        <w:t xml:space="preserve">Jonathan Hsu / Social Capital — Growth Accounting &amp; LTV SQL (GitHub Gist)</w:t>
      </w:r>
    </w:p>
    <w:p>
      <w:pPr>
        <w:pStyle w:val="ListParagraph"/>
        <w:numPr>
          <w:ilvl w:val="0"/>
          <w:numId w:val="2"/>
        </w:numPr>
        <w:spacing w:after="60"/>
      </w:pPr>
      <w:r>
        <w:rPr>
          <w:rFonts w:ascii="Arial" w:cs="Arial" w:eastAsia="Arial" w:hAnsi="Arial"/>
          <w:sz w:val="22"/>
          <w:szCs w:val="22"/>
        </w:rPr>
        <w:t xml:space="preserve">a16z — “Retention Is All You Need” and Growth Metrics Guide (a16z.com)</w:t>
      </w:r>
    </w:p>
    <w:p>
      <w:pPr>
        <w:pStyle w:val="ListParagraph"/>
        <w:numPr>
          <w:ilvl w:val="0"/>
          <w:numId w:val="2"/>
        </w:numPr>
        <w:spacing w:after="60"/>
      </w:pPr>
      <w:r>
        <w:rPr>
          <w:rFonts w:ascii="Arial" w:cs="Arial" w:eastAsia="Arial" w:hAnsi="Arial"/>
          <w:sz w:val="22"/>
          <w:szCs w:val="22"/>
        </w:rPr>
        <w:t xml:space="preserve">ChartMogul — “The SaaS Retention Report: The AI Churn Wave” (2025)</w:t>
      </w:r>
    </w:p>
    <w:p>
      <w:pPr>
        <w:pStyle w:val="ListParagraph"/>
        <w:numPr>
          <w:ilvl w:val="0"/>
          <w:numId w:val="2"/>
        </w:numPr>
        <w:spacing w:after="60"/>
      </w:pPr>
      <w:r>
        <w:rPr>
          <w:rFonts w:ascii="Arial" w:cs="Arial" w:eastAsia="Arial" w:hAnsi="Arial"/>
          <w:sz w:val="22"/>
          <w:szCs w:val="22"/>
        </w:rPr>
        <w:t xml:space="preserve">Arcade.dev — “AI Platform Retention &amp; Monetization Analysis” (2025)</w:t>
      </w:r>
    </w:p>
    <w:p>
      <w:pPr>
        <w:pStyle w:val="ListParagraph"/>
        <w:numPr>
          <w:ilvl w:val="0"/>
          <w:numId w:val="2"/>
        </w:numPr>
        <w:spacing w:after="60"/>
      </w:pPr>
      <w:r>
        <w:rPr>
          <w:rFonts w:ascii="Arial" w:cs="Arial" w:eastAsia="Arial" w:hAnsi="Arial"/>
          <w:sz w:val="22"/>
          <w:szCs w:val="22"/>
        </w:rPr>
        <w:t xml:space="preserve">SaaS Capital — “2023 B2B SaaS Retention Benchmarks”</w:t>
      </w:r>
    </w:p>
    <w:p>
      <w:pPr>
        <w:pStyle w:val="ListParagraph"/>
        <w:numPr>
          <w:ilvl w:val="0"/>
          <w:numId w:val="2"/>
        </w:numPr>
        <w:spacing w:after="60"/>
      </w:pPr>
      <w:r>
        <w:rPr>
          <w:rFonts w:ascii="Arial" w:cs="Arial" w:eastAsia="Arial" w:hAnsi="Arial"/>
          <w:sz w:val="22"/>
          <w:szCs w:val="22"/>
        </w:rPr>
        <w:t xml:space="preserve">Tomasz Tunguz — “What is Quick Ratio Hiding?”</w:t>
      </w:r>
    </w:p>
    <w:p>
      <w:pPr>
        <w:pStyle w:val="ListParagraph"/>
        <w:numPr>
          <w:ilvl w:val="0"/>
          <w:numId w:val="2"/>
        </w:numPr>
        <w:spacing w:after="60"/>
      </w:pPr>
      <w:r>
        <w:rPr>
          <w:rFonts w:ascii="Arial" w:cs="Arial" w:eastAsia="Arial" w:hAnsi="Arial"/>
          <w:sz w:val="22"/>
          <w:szCs w:val="22"/>
        </w:rPr>
        <w:t xml:space="preserve">OpenView Partners — 2023 SaaS Benchmarks Report</w:t>
      </w:r>
    </w:p>
    <w:p>
      <w:pPr>
        <w:pStyle w:val="ListParagraph"/>
        <w:numPr>
          <w:ilvl w:val="0"/>
          <w:numId w:val="2"/>
        </w:numPr>
        <w:spacing w:after="60"/>
      </w:pPr>
      <w:r>
        <w:rPr>
          <w:rFonts w:ascii="Arial" w:cs="Arial" w:eastAsia="Arial" w:hAnsi="Arial"/>
          <w:sz w:val="22"/>
          <w:szCs w:val="22"/>
        </w:rPr>
        <w:t xml:space="preserve">Twilio public filings / SaaStr analysis</w:t>
      </w:r>
    </w:p>
    <w:p>
      <w:pPr>
        <w:spacing w:after="200" w:before="200"/>
      </w:pPr>
    </w:p>
    <w:p>
      <w:pPr>
        <w:spacing w:after="120"/>
        <w:rPr>
          <w:i/>
          <w:iCs/>
          <w:color w:val="64748B"/>
        </w:rPr>
      </w:pPr>
      <w:r>
        <w:rPr>
          <w:rFonts w:ascii="Arial" w:cs="Arial" w:eastAsia="Arial" w:hAnsi="Arial"/>
          <w:i/>
          <w:iCs/>
          <w:color w:val="64748B"/>
          <w:sz w:val="22"/>
          <w:szCs w:val="22"/>
        </w:rPr>
        <w:t xml:space="preserve">This document accompanies the interactive dashboard. All data is synthetic. The analytical framework and benchmarks are real.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6"/>
        <w:szCs w:val="16"/>
      </w:rPr>
      <w:t xml:space="preserve">Page </w:t>
    </w:r>
    <w:r>
      <w:rPr>
        <w:rFonts w:ascii="Arial" w:cs="Arial" w:eastAsia="Arial" w:hAnsi="Arial"/>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4A3B8"/>
        <w:sz w:val="16"/>
        <w:szCs w:val="16"/>
      </w:rPr>
      <w:t xml:space="preserve">Anthropic EMEA Startup Partnerships — Analytical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B3544"/>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7556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2026-03-25T17:22:01.952Z</dcterms:created>
  <dcterms:modified xsi:type="dcterms:W3CDTF">2026-03-25T17:22:01.954Z</dcterms:modified>
</cp:coreProperties>
</file>

<file path=docProps/custom.xml><?xml version="1.0" encoding="utf-8"?>
<Properties xmlns="http://schemas.openxmlformats.org/officeDocument/2006/custom-properties" xmlns:vt="http://schemas.openxmlformats.org/officeDocument/2006/docPropsVTypes"/>
</file>