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1A1A2E"/>
          <w:sz w:val="48"/>
          <w:szCs w:val="48"/>
        </w:rPr>
        <w:t xml:space="preserve">Measuring What Matters</w:t>
      </w:r>
    </w:p>
    <w:p>
      <w:pPr>
        <w:spacing w:after="200"/>
      </w:pPr>
      <w:r>
        <w:rPr>
          <w:rFonts w:ascii="Arial" w:cs="Arial" w:eastAsia="Arial" w:hAnsi="Arial"/>
          <w:color w:val="475569"/>
          <w:sz w:val="28"/>
          <w:szCs w:val="28"/>
        </w:rPr>
        <w:t xml:space="preserve">A Growth Accounting Framework for Anthropic’s Startup Partnerships</w:t>
      </w:r>
    </w:p>
    <w:p>
      <w:pPr>
        <w:pBdr>
          <w:bottom w:val="single" w:color="3B82F6" w:sz="6" w:space="1"/>
        </w:pBdr>
        <w:spacing w:after="100"/>
      </w:pPr>
      <w:r>
        <w:rPr>
          <w:rFonts w:ascii="Arial" w:cs="Arial" w:eastAsia="Arial" w:hAnsi="Arial"/>
          <w:color w:val="64748B"/>
          <w:sz w:val="20"/>
          <w:szCs w:val="20"/>
        </w:rPr>
        <w:t xml:space="preserve">Ongun Ozdemir · March 2026</w:t>
      </w:r>
    </w:p>
    <w:p>
      <w:pPr>
        <w:spacing w:after="200" w:before="200"/>
      </w:pPr>
    </w:p>
    <w:p>
      <w:pPr>
        <w:pStyle w:val="Heading1"/>
      </w:pPr>
      <w:r>
        <w:rPr>
          <w:b/>
          <w:bCs/>
        </w:rPr>
        <w:t xml:space="preserve">Foreword</w:t>
      </w:r>
    </w:p>
    <w:p>
      <w:pPr>
        <w:spacing w:after="120"/>
      </w:pPr>
      <w:r>
        <w:rPr>
          <w:rFonts w:ascii="Arial" w:cs="Arial" w:eastAsia="Arial" w:hAnsi="Arial"/>
          <w:sz w:val="22"/>
          <w:szCs w:val="22"/>
        </w:rPr>
        <w:t xml:space="preserve">All data in this dashboard is synthetic and for demonstrative purposes.</w:t>
      </w:r>
    </w:p>
    <w:p>
      <w:pPr>
        <w:spacing w:after="120"/>
      </w:pPr>
      <w:r>
        <w:rPr>
          <w:rFonts w:ascii="Arial" w:cs="Arial" w:eastAsia="Arial" w:hAnsi="Arial"/>
          <w:sz w:val="22"/>
          <w:szCs w:val="22"/>
        </w:rPr>
        <w:t xml:space="preserve">In this model, I’ve taken an approach which focuses on direct API usage, while ignoring enterprise agreements, Pro/Max subscriptions, and other consumption channels. By scoping to direct API partners only, the model stays clean with synthetic data and reflects the primary revenue channel that a startup partnerships role would manage.</w:t>
      </w:r>
    </w:p>
    <w:p>
      <w:pPr>
        <w:spacing w:after="120"/>
      </w:pPr>
      <w:r>
        <w:rPr>
          <w:rFonts w:ascii="Arial" w:cs="Arial" w:eastAsia="Arial" w:hAnsi="Arial"/>
          <w:sz w:val="22"/>
          <w:szCs w:val="22"/>
        </w:rPr>
        <w:t xml:space="preserve">We have applied early and growth-stage growth accounting analyses utilised by top-tier VC firms to evaluate product-market fit within a partnership portfolio. These frameworks take different approaches and place different importance on metrics depending on the partner’s use case and stage, as we highlight in the accompanying case studies.</w:t>
      </w:r>
    </w:p>
    <w:p>
      <w:pPr>
        <w:spacing w:after="120"/>
      </w:pPr>
      <w:r>
        <w:rPr>
          <w:rFonts w:ascii="Arial" w:cs="Arial" w:eastAsia="Arial" w:hAnsi="Arial"/>
          <w:sz w:val="22"/>
          <w:szCs w:val="22"/>
        </w:rPr>
        <w:t xml:space="preserve">The core analytical framework is adapted from Tribe Capital’s “A Quantitative Approach to Product-Market Fit” and the accompanying SQL implementation by Jonathan Hsu at Social Capital. The framework decomposes growth into its constituent components — retained, new, expansion, resurrected, contraction, and churned — to reveal the quality of growth, not just its rate.</w:t>
      </w:r>
    </w:p>
    <w:p>
      <w:pPr>
        <w:spacing w:after="120"/>
      </w:pPr>
      <w:r>
        <w:rPr>
          <w:rFonts w:ascii="Arial" w:cs="Arial" w:eastAsia="Arial" w:hAnsi="Arial"/>
          <w:sz w:val="22"/>
          <w:szCs w:val="22"/>
        </w:rPr>
        <w:t xml:space="preserve">The dashboard operates on three tiers:</w:t>
      </w:r>
    </w:p>
    <w:p>
      <w:pPr>
        <w:spacing w:after="100"/>
      </w:pPr>
      <w:r>
        <w:rPr>
          <w:rFonts w:ascii="Arial" w:cs="Arial" w:eastAsia="Arial" w:hAnsi="Arial"/>
          <w:b/>
          <w:bCs/>
          <w:sz w:val="22"/>
          <w:szCs w:val="22"/>
        </w:rPr>
        <w:t xml:space="preserve">Pulse</w:t>
      </w:r>
      <w:r>
        <w:rPr>
          <w:rFonts w:ascii="Arial" w:cs="Arial" w:eastAsia="Arial" w:hAnsi="Arial"/>
          <w:sz w:val="22"/>
          <w:szCs w:val="22"/>
        </w:rPr>
        <w:t xml:space="preserve"> — the ecosystem health check. Four headline metrics, a growth accounting waterfall with selectable time periods and scopes, a combined GA + CMGR chart, and a portfolio revenue share visualisation. This answers “is the portfolio healthy this week?” in under ten seconds.</w:t>
      </w:r>
    </w:p>
    <w:p>
      <w:pPr>
        <w:spacing w:after="100"/>
      </w:pPr>
      <w:r>
        <w:rPr>
          <w:rFonts w:ascii="Arial" w:cs="Arial" w:eastAsia="Arial" w:hAnsi="Arial"/>
          <w:b/>
          <w:bCs/>
          <w:sz w:val="22"/>
          <w:szCs w:val="22"/>
        </w:rPr>
        <w:t xml:space="preserve">Partners</w:t>
      </w:r>
      <w:r>
        <w:rPr>
          <w:rFonts w:ascii="Arial" w:cs="Arial" w:eastAsia="Arial" w:hAnsi="Arial"/>
          <w:sz w:val="22"/>
          <w:szCs w:val="22"/>
        </w:rPr>
        <w:t xml:space="preserve"> — the navigation layer. Every partner in a sortable, colour-coded scoreboard with a Power Law Tracker ranking partners by projected scale. This answers “who needs my attention?” and routes you to the detail view.</w:t>
      </w:r>
    </w:p>
    <w:p>
      <w:pPr>
        <w:spacing w:after="100"/>
      </w:pPr>
      <w:r>
        <w:rPr>
          <w:rFonts w:ascii="Arial" w:cs="Arial" w:eastAsia="Arial" w:hAnsi="Arial"/>
          <w:b/>
          <w:bCs/>
          <w:sz w:val="22"/>
          <w:szCs w:val="22"/>
        </w:rPr>
        <w:t xml:space="preserve">Company Detail</w:t>
      </w:r>
      <w:r>
        <w:rPr>
          <w:rFonts w:ascii="Arial" w:cs="Arial" w:eastAsia="Arial" w:hAnsi="Arial"/>
          <w:sz w:val="22"/>
          <w:szCs w:val="22"/>
        </w:rPr>
        <w:t xml:space="preserve"> — the full drill-down. Growth accounting, cohort LTV curves and heatmaps, developer retention, model mix evolution. This answers “why is this partner behaving the way it is, and what should I do about it?”</w:t>
      </w:r>
    </w:p>
    <w:p>
      <w:pPr>
        <w:spacing w:after="200" w:before="200"/>
      </w:pPr>
    </w:p>
    <w:p>
      <w:pPr>
        <w:pStyle w:val="Heading1"/>
      </w:pPr>
      <w:r>
        <w:rPr>
          <w:b/>
          <w:bCs/>
        </w:rPr>
        <w:t xml:space="preserve">Analytical Approach</w:t>
      </w:r>
    </w:p>
    <w:p>
      <w:pPr>
        <w:spacing w:after="120"/>
      </w:pPr>
      <w:r>
        <w:rPr>
          <w:rFonts w:ascii="Arial" w:cs="Arial" w:eastAsia="Arial" w:hAnsi="Arial"/>
          <w:sz w:val="22"/>
          <w:szCs w:val="22"/>
        </w:rPr>
        <w:t xml:space="preserve">The growth accounting identity is not a model — it’s an accounting framework. Every period, the active revenue base decomposes into mutually exclusive categories that must balance:</w:t>
      </w:r>
    </w:p>
    <w:p>
      <w:pPr>
        <w:spacing w:after="120"/>
        <w:jc w:val="center"/>
        <w:rPr>
          <w:rFonts w:ascii="Courier New" w:cs="Courier New" w:eastAsia="Courier New" w:hAnsi="Courier New"/>
          <w:sz w:val="20"/>
          <w:szCs w:val="20"/>
        </w:rPr>
      </w:pPr>
      <w:r>
        <w:rPr>
          <w:rFonts w:ascii="Courier New" w:cs="Courier New" w:eastAsia="Courier New" w:hAnsi="Courier New"/>
          <w:sz w:val="20"/>
          <w:szCs w:val="20"/>
        </w:rPr>
        <w:t xml:space="preserve">Revenue(t) = Retained + New + Expansion + Resurrected</w:t>
      </w:r>
    </w:p>
    <w:p>
      <w:pPr>
        <w:spacing w:after="120"/>
        <w:jc w:val="center"/>
        <w:rPr>
          <w:rFonts w:ascii="Courier New" w:cs="Courier New" w:eastAsia="Courier New" w:hAnsi="Courier New"/>
          <w:sz w:val="20"/>
          <w:szCs w:val="20"/>
        </w:rPr>
      </w:pPr>
      <w:r>
        <w:rPr>
          <w:rFonts w:ascii="Courier New" w:cs="Courier New" w:eastAsia="Courier New" w:hAnsi="Courier New"/>
          <w:sz w:val="20"/>
          <w:szCs w:val="20"/>
        </w:rPr>
        <w:t xml:space="preserve">Revenue(t-1) = Retained + Churned + Contraction</w:t>
      </w:r>
    </w:p>
    <w:p>
      <w:pPr>
        <w:spacing w:after="120"/>
      </w:pPr>
      <w:r>
        <w:rPr>
          <w:rFonts w:ascii="Arial" w:cs="Arial" w:eastAsia="Arial" w:hAnsi="Arial"/>
          <w:sz w:val="22"/>
          <w:szCs w:val="22"/>
        </w:rPr>
        <w:t xml:space="preserve">From these components we derive three key metrics:</w:t>
      </w:r>
    </w:p>
    <w:p>
      <w:pPr>
        <w:spacing w:after="200" w:before="200"/>
      </w:pPr>
    </w:p>
    <w:p>
      <w:pPr>
        <w:spacing w:after="40" w:before="80"/>
      </w:pPr>
      <w:r>
        <w:rPr>
          <w:rFonts w:ascii="Arial" w:cs="Arial" w:eastAsia="Arial" w:hAnsi="Arial"/>
          <w:b/>
          <w:bCs/>
          <w:sz w:val="22"/>
          <w:szCs w:val="22"/>
        </w:rPr>
        <w:t xml:space="preserve">Quick Ratio</w:t>
      </w:r>
    </w:p>
    <w:p>
      <w:pPr>
        <w:pBdr>
          <w:top w:val="none"/>
          <w:bottom w:val="none"/>
          <w:left w:val="single" w:color="3B82F6" w:sz="3" w:space="8"/>
        </w:pBdr>
        <w:spacing w:after="20" w:before="60"/>
        <w:ind w:left="1440" w:right="1440"/>
        <w:jc w:val="center"/>
      </w:pPr>
      <w:r>
        <w:rPr>
          <w:rFonts w:ascii="Cambria Math" w:cs="Cambria Math" w:eastAsia="Cambria Math" w:hAnsi="Cambria Math"/>
          <w:color w:val="1E293B"/>
          <w:sz w:val="22"/>
          <w:szCs w:val="22"/>
        </w:rPr>
        <w:t xml:space="preserve">New  +  Resurrected  +  Expansion</w:t>
      </w:r>
    </w:p>
    <w:p>
      <w:pPr>
        <w:spacing w:after="0" w:before="0"/>
        <w:ind w:left="1440" w:right="1440"/>
        <w:jc w:val="center"/>
      </w:pPr>
      <w:r>
        <w:rPr>
          <w:rFonts w:ascii="Cambria Math" w:cs="Cambria Math" w:eastAsia="Cambria Math" w:hAnsi="Cambria Math"/>
          <w:color w:val="94A3B8"/>
          <w:sz w:val="18"/>
          <w:szCs w:val="18"/>
        </w:rPr>
        <w:t xml:space="preserve">──────────────────────────────────</w:t>
      </w:r>
    </w:p>
    <w:p>
      <w:pPr>
        <w:pBdr>
          <w:top w:val="none"/>
          <w:bottom w:val="none"/>
          <w:left w:val="single" w:color="3B82F6" w:sz="3" w:space="8"/>
        </w:pBdr>
        <w:spacing w:after="40" w:before="0"/>
        <w:ind w:left="1440" w:right="1440"/>
        <w:jc w:val="center"/>
      </w:pPr>
      <w:r>
        <w:rPr>
          <w:rFonts w:ascii="Cambria Math" w:cs="Cambria Math" w:eastAsia="Cambria Math" w:hAnsi="Cambria Math"/>
          <w:color w:val="1E293B"/>
          <w:sz w:val="22"/>
          <w:szCs w:val="22"/>
        </w:rPr>
        <w:t xml:space="preserve">Churned  +  Contraction</w:t>
      </w:r>
    </w:p>
    <w:p>
      <w:pPr>
        <w:spacing w:after="160"/>
        <w:ind w:left="360"/>
      </w:pPr>
      <w:r>
        <w:rPr>
          <w:rFonts w:ascii="Arial" w:cs="Arial" w:eastAsia="Arial" w:hAnsi="Arial"/>
          <w:i/>
          <w:iCs/>
          <w:color w:val="64748B"/>
          <w:sz w:val="20"/>
          <w:szCs w:val="20"/>
        </w:rPr>
        <w:t xml:space="preserve">Measures growth efficiency. How many units gained for every unit lost. &gt;4x = very healthy, &lt;1x = shrinking.</w:t>
      </w:r>
    </w:p>
    <w:p>
      <w:pPr>
        <w:spacing w:after="40" w:before="80"/>
      </w:pPr>
      <w:r>
        <w:rPr>
          <w:rFonts w:ascii="Arial" w:cs="Arial" w:eastAsia="Arial" w:hAnsi="Arial"/>
          <w:b/>
          <w:bCs/>
          <w:sz w:val="22"/>
          <w:szCs w:val="22"/>
        </w:rPr>
        <w:t xml:space="preserve">Gross Dollar Retention (GDR)</w:t>
      </w:r>
    </w:p>
    <w:p>
      <w:pPr>
        <w:pBdr>
          <w:top w:val="none"/>
          <w:bottom w:val="none"/>
          <w:left w:val="single" w:color="16A34A" w:sz="3" w:space="8"/>
        </w:pBdr>
        <w:spacing w:after="20" w:before="60"/>
        <w:ind w:left="1440" w:right="1440"/>
        <w:jc w:val="center"/>
      </w:pPr>
      <w:r>
        <w:rPr>
          <w:rFonts w:ascii="Cambria Math" w:cs="Cambria Math" w:eastAsia="Cambria Math" w:hAnsi="Cambria Math"/>
          <w:color w:val="1E293B"/>
          <w:sz w:val="22"/>
          <w:szCs w:val="22"/>
        </w:rPr>
        <w:t xml:space="preserve">Retained Revenue</w:t>
      </w:r>
    </w:p>
    <w:p>
      <w:pPr>
        <w:spacing w:after="0" w:before="0"/>
        <w:ind w:left="1440" w:right="1440"/>
        <w:jc w:val="center"/>
      </w:pPr>
      <w:r>
        <w:rPr>
          <w:rFonts w:ascii="Cambria Math" w:cs="Cambria Math" w:eastAsia="Cambria Math" w:hAnsi="Cambria Math"/>
          <w:color w:val="94A3B8"/>
          <w:sz w:val="18"/>
          <w:szCs w:val="18"/>
        </w:rPr>
        <w:t xml:space="preserve">──────────────────────────────────</w:t>
      </w:r>
    </w:p>
    <w:p>
      <w:pPr>
        <w:pBdr>
          <w:top w:val="none"/>
          <w:bottom w:val="none"/>
          <w:left w:val="single" w:color="16A34A" w:sz="3" w:space="8"/>
        </w:pBdr>
        <w:spacing w:after="40" w:before="0"/>
        <w:ind w:left="1440" w:right="1440"/>
        <w:jc w:val="center"/>
      </w:pPr>
      <w:r>
        <w:rPr>
          <w:rFonts w:ascii="Cambria Math" w:cs="Cambria Math" w:eastAsia="Cambria Math" w:hAnsi="Cambria Math"/>
          <w:color w:val="1E293B"/>
          <w:sz w:val="22"/>
          <w:szCs w:val="22"/>
        </w:rPr>
        <w:t xml:space="preserve">Prior Period Revenue</w:t>
      </w:r>
    </w:p>
    <w:p>
      <w:pPr>
        <w:spacing w:after="160"/>
        <w:ind w:left="360"/>
      </w:pPr>
      <w:r>
        <w:rPr>
          <w:rFonts w:ascii="Arial" w:cs="Arial" w:eastAsia="Arial" w:hAnsi="Arial"/>
          <w:i/>
          <w:iCs/>
          <w:color w:val="64748B"/>
          <w:sz w:val="20"/>
          <w:szCs w:val="20"/>
        </w:rPr>
        <w:t xml:space="preserve">The floor — how much revenue survives month-to-month without any new business. Caps at 100%. B2B SaaS median: 91%.</w:t>
      </w:r>
    </w:p>
    <w:p>
      <w:pPr>
        <w:spacing w:after="40" w:before="80"/>
      </w:pPr>
      <w:r>
        <w:rPr>
          <w:rFonts w:ascii="Arial" w:cs="Arial" w:eastAsia="Arial" w:hAnsi="Arial"/>
          <w:b/>
          <w:bCs/>
          <w:sz w:val="22"/>
          <w:szCs w:val="22"/>
        </w:rPr>
        <w:t xml:space="preserve">Net Dollar Retention (NDR)</w:t>
      </w:r>
    </w:p>
    <w:p>
      <w:pPr>
        <w:pBdr>
          <w:top w:val="none"/>
          <w:bottom w:val="none"/>
          <w:left w:val="single" w:color="D97706" w:sz="3" w:space="8"/>
        </w:pBdr>
        <w:spacing w:after="20" w:before="60"/>
        <w:ind w:left="1440" w:right="1440"/>
        <w:jc w:val="center"/>
      </w:pPr>
      <w:r>
        <w:rPr>
          <w:rFonts w:ascii="Cambria Math" w:cs="Cambria Math" w:eastAsia="Cambria Math" w:hAnsi="Cambria Math"/>
          <w:color w:val="1E293B"/>
          <w:sz w:val="22"/>
          <w:szCs w:val="22"/>
        </w:rPr>
        <w:t xml:space="preserve">Retained  +  Expansion  +  Resurrected</w:t>
      </w:r>
    </w:p>
    <w:p>
      <w:pPr>
        <w:spacing w:after="0" w:before="0"/>
        <w:ind w:left="1440" w:right="1440"/>
        <w:jc w:val="center"/>
      </w:pPr>
      <w:r>
        <w:rPr>
          <w:rFonts w:ascii="Cambria Math" w:cs="Cambria Math" w:eastAsia="Cambria Math" w:hAnsi="Cambria Math"/>
          <w:color w:val="94A3B8"/>
          <w:sz w:val="18"/>
          <w:szCs w:val="18"/>
        </w:rPr>
        <w:t xml:space="preserve">──────────────────────────────────</w:t>
      </w:r>
    </w:p>
    <w:p>
      <w:pPr>
        <w:pBdr>
          <w:top w:val="none"/>
          <w:bottom w:val="none"/>
          <w:left w:val="single" w:color="D97706" w:sz="3" w:space="8"/>
        </w:pBdr>
        <w:spacing w:after="40" w:before="0"/>
        <w:ind w:left="1440" w:right="1440"/>
        <w:jc w:val="center"/>
      </w:pPr>
      <w:r>
        <w:rPr>
          <w:rFonts w:ascii="Cambria Math" w:cs="Cambria Math" w:eastAsia="Cambria Math" w:hAnsi="Cambria Math"/>
          <w:color w:val="1E293B"/>
          <w:sz w:val="22"/>
          <w:szCs w:val="22"/>
        </w:rPr>
        <w:t xml:space="preserve">Prior Period Revenue</w:t>
      </w:r>
    </w:p>
    <w:p>
      <w:pPr>
        <w:spacing w:after="160"/>
        <w:ind w:left="360"/>
      </w:pPr>
      <w:r>
        <w:rPr>
          <w:rFonts w:ascii="Arial" w:cs="Arial" w:eastAsia="Arial" w:hAnsi="Arial"/>
          <w:i/>
          <w:iCs/>
          <w:color w:val="64748B"/>
          <w:sz w:val="20"/>
          <w:szCs w:val="20"/>
        </w:rPr>
        <w:t xml:space="preserve">Whether the existing base is growing or shrinking. &gt;100% = expansion exceeds losses (the goal). Enterprise B2B SaaS median: 110–118%.</w:t>
      </w:r>
    </w:p>
    <w:p>
      <w:pPr>
        <w:spacing w:after="120"/>
      </w:pPr>
      <w:r>
        <w:rPr>
          <w:rFonts w:ascii="Arial" w:cs="Arial" w:eastAsia="Arial" w:hAnsi="Arial"/>
          <w:sz w:val="22"/>
          <w:szCs w:val="22"/>
        </w:rPr>
        <w:t xml:space="preserve">Critically, the same Quick Ratio can mean very different things depending on the partner’s use case. A consumer product with QR 2.0x (high churn offset by high new) is healthy. A B2B enterprise product with QR 2.0x (moderate churn, moderate new) may be concerning. The case studies below demonstrate this principle.</w:t>
      </w:r>
    </w:p>
    <w:p>
      <w:pPr>
        <w:spacing w:after="200" w:before="200"/>
      </w:pPr>
    </w:p>
    <w:p>
      <w:pPr>
        <w:pStyle w:val="Heading1"/>
      </w:pPr>
      <w:r>
        <w:rPr>
          <w:b/>
          <w:bCs/>
        </w:rPr>
        <w:t xml:space="preserve">Pulse Section: Key Visualisations</w:t>
      </w:r>
    </w:p>
    <w:p>
      <w:pPr>
        <w:pStyle w:val="Heading2"/>
      </w:pPr>
      <w:r>
        <w:rPr>
          <w:b/>
          <w:bCs/>
        </w:rPr>
        <w:t xml:space="preserve">Compound Monthly Growth Rate (CMGR)</w:t>
      </w:r>
    </w:p>
    <w:p>
      <w:pPr>
        <w:spacing w:after="120"/>
      </w:pPr>
      <w:r>
        <w:rPr>
          <w:rFonts w:ascii="Arial" w:cs="Arial" w:eastAsia="Arial" w:hAnsi="Arial"/>
          <w:sz w:val="22"/>
          <w:szCs w:val="22"/>
        </w:rPr>
        <w:t xml:space="preserve">CMGR measures the smoothed monthly growth rate over trailing windows — 3, 6, and 12 months. We show all three simultaneously because the relationship between them tells a story that no single number can.</w:t>
      </w:r>
    </w:p>
    <w:p>
      <w:pPr>
        <w:spacing w:after="120"/>
      </w:pPr>
      <w:r>
        <w:rPr>
          <w:rFonts w:ascii="Arial" w:cs="Arial" w:eastAsia="Arial" w:hAnsi="Arial"/>
          <w:sz w:val="22"/>
          <w:szCs w:val="22"/>
        </w:rPr>
        <w:t xml:space="preserve">When CMGR-3 leads CMGR-12 (short-term growth exceeds long-term average), the portfolio is accelerating. When CMGR-3 trails CMGR-12, growth has decelerated — recent months are underperforming the historical trend. This spread is surfaced as an explicit callout in the Pulse section because it’s the earliest signal of a structural slowdown versus a seasonal dip.</w:t>
      </w:r>
    </w:p>
    <w:p>
      <w:pPr>
        <w:spacing w:after="120"/>
      </w:pPr>
      <w:r>
        <w:rPr>
          <w:rFonts w:ascii="Arial" w:cs="Arial" w:eastAsia="Arial" w:hAnsi="Arial"/>
          <w:sz w:val="22"/>
          <w:szCs w:val="22"/>
        </w:rPr>
        <w:t xml:space="preserve">For a startup partnerships portfolio, CMGR is more useful than annualised CAGR because the time horizons are short (12–24 months of partner history) and the growth rates are volatile. A partner showing 1,500% CAGR from a $100 base is mathematically correct but operationally meaningless. CMGR-3 of 8% tells you they’re compounding steadily right now, which is actionable.</w:t>
      </w:r>
    </w:p>
    <w:p>
      <w:pPr>
        <w:pStyle w:val="Heading2"/>
      </w:pPr>
      <w:r>
        <w:rPr>
          <w:b/>
          <w:bCs/>
        </w:rPr>
        <w:t xml:space="preserve">Portfolio Revenue Share</w:t>
      </w:r>
    </w:p>
    <w:p>
      <w:pPr>
        <w:spacing w:after="120"/>
      </w:pPr>
      <w:r>
        <w:rPr>
          <w:rFonts w:ascii="Arial" w:cs="Arial" w:eastAsia="Arial" w:hAnsi="Arial"/>
          <w:sz w:val="22"/>
          <w:szCs w:val="22"/>
        </w:rPr>
        <w:t xml:space="preserve">The stacked area chart shows each partner’s proportional share of total portfolio revenue over time. Partners below a significance threshold are grouped into “Others” to keep the visual clean — we care about who’s winning, not the long tail of minimal contributors.</w:t>
      </w:r>
    </w:p>
    <w:p>
      <w:pPr>
        <w:spacing w:after="120"/>
      </w:pPr>
      <w:r>
        <w:rPr>
          <w:rFonts w:ascii="Arial" w:cs="Arial" w:eastAsia="Arial" w:hAnsi="Arial"/>
          <w:sz w:val="22"/>
          <w:szCs w:val="22"/>
        </w:rPr>
        <w:t xml:space="preserve">This view naturally surfaces the power law. In our synthetic portfolio, MedScribe AI, NovaMed AI, BrieflyAI, and Eigen Technologies emerge as the clear top performers, collectively accounting for the majority of portfolio revenue. The remaining partners contribute individually small amounts.</w:t>
      </w:r>
    </w:p>
    <w:p>
      <w:pPr>
        <w:spacing w:after="120"/>
      </w:pPr>
      <w:r>
        <w:rPr>
          <w:rFonts w:ascii="Arial" w:cs="Arial" w:eastAsia="Arial" w:hAnsi="Arial"/>
          <w:sz w:val="22"/>
          <w:szCs w:val="22"/>
        </w:rPr>
        <w:t xml:space="preserve">The practical implication: these top performers are the candidates to watch most closely and allocate more resources to. Depending on internal policies and thresholds, they would be the first candidates to transition from the partnerships team to dedicated account management — or to hand over to account executives for deeper commercial relationships. They represent the portfolio’s future revenue base, and their retention is disproportionately important to the programme’s overall ROI.</w:t>
      </w:r>
    </w:p>
    <w:p>
      <w:pPr>
        <w:spacing w:after="120"/>
      </w:pPr>
      <w:r>
        <w:rPr>
          <w:rFonts w:ascii="Arial" w:cs="Arial" w:eastAsia="Arial" w:hAnsi="Arial"/>
          <w:sz w:val="22"/>
          <w:szCs w:val="22"/>
        </w:rPr>
        <w:t xml:space="preserve">The “Others” band is equally informative. If it’s growing as a proportion, the portfolio is diversifying — more partners are contributing meaningfully. If it’s shrinking, concentration risk is increasing and the portfolio’s health depends on fewer bets.</w:t>
      </w:r>
    </w:p>
    <w:p>
      <w:pPr>
        <w:pStyle w:val="Heading2"/>
      </w:pPr>
      <w:r>
        <w:rPr>
          <w:b/>
          <w:bCs/>
        </w:rPr>
        <w:t xml:space="preserve">Revenue Distribution</w:t>
      </w:r>
    </w:p>
    <w:p>
      <w:pPr>
        <w:spacing w:after="120"/>
      </w:pPr>
      <w:r>
        <w:rPr>
          <w:rFonts w:ascii="Arial" w:cs="Arial" w:eastAsia="Arial" w:hAnsi="Arial"/>
          <w:sz w:val="22"/>
          <w:szCs w:val="22"/>
        </w:rPr>
        <w:t xml:space="preserve">The revenue distribution chart shows the shape of revenue across the entire partner portfolio. Two views are provided:</w:t>
      </w:r>
    </w:p>
    <w:p>
      <w:pPr>
        <w:pStyle w:val="ListParagraph"/>
        <w:numPr>
          <w:ilvl w:val="0"/>
          <w:numId w:val="2"/>
        </w:numPr>
        <w:spacing w:after="60"/>
      </w:pPr>
      <w:r>
        <w:rPr>
          <w:rFonts w:ascii="Arial" w:cs="Arial" w:eastAsia="Arial" w:hAnsi="Arial"/>
          <w:sz w:val="22"/>
          <w:szCs w:val="22"/>
        </w:rPr>
        <w:t xml:space="preserve">Power Law / Pareto: a horizontal bar chart of each partner’s monthly revenue (sorted high to low) with a cumulative percentage line. This immediately reveals whether the portfolio follows a power law distribution — in a typical startup portfolio, the top 3–5 partners will generate 50–70% of total revenue.</w:t>
      </w:r>
    </w:p>
    <w:p>
      <w:pPr>
        <w:pStyle w:val="ListParagraph"/>
        <w:numPr>
          <w:ilvl w:val="0"/>
          <w:numId w:val="2"/>
        </w:numPr>
        <w:spacing w:after="60"/>
      </w:pPr>
      <w:r>
        <w:rPr>
          <w:rFonts w:ascii="Arial" w:cs="Arial" w:eastAsia="Arial" w:hAnsi="Arial"/>
          <w:sz w:val="22"/>
          <w:szCs w:val="22"/>
        </w:rPr>
        <w:t xml:space="preserve">Histogram: groups partners into revenue buckets ($0, $0–500, $500–2K, $2K–10K, $10K+) showing how many partners fall into each tier. A healthy portfolio has a few partners in the high buckets and a long tail of smaller ones — not a uniform distribution.</w:t>
      </w:r>
    </w:p>
    <w:p>
      <w:pPr>
        <w:spacing w:after="120"/>
      </w:pPr>
      <w:r>
        <w:rPr>
          <w:rFonts w:ascii="Arial" w:cs="Arial" w:eastAsia="Arial" w:hAnsi="Arial"/>
          <w:sz w:val="22"/>
          <w:szCs w:val="22"/>
        </w:rPr>
        <w:t xml:space="preserve">This visualisation directly informs resource allocation. If your top 3 partners account for 65% of portfolio revenue, those relationships need disproportionate attention. If the distribution is flatter, the portfolio is more resilient but may lack breakout performers.</w:t>
      </w:r>
    </w:p>
    <w:p>
      <w:r>
        <w:br w:type="page"/>
      </w:r>
    </w:p>
    <w:p>
      <w:pPr>
        <w:pStyle w:val="Heading1"/>
      </w:pPr>
      <w:r>
        <w:rPr>
          <w:b/>
          <w:bCs/>
        </w:rPr>
        <w:t xml:space="preserve">Case Study 1: WriteFlow — Consumer AI Writing Assistant</w:t>
      </w:r>
    </w:p>
    <w:p>
      <w:pPr>
        <w:spacing w:after="100"/>
      </w:pPr>
      <w:r>
        <w:rPr>
          <w:rFonts w:ascii="Arial" w:cs="Arial" w:eastAsia="Arial" w:hAnsi="Arial"/>
          <w:b/>
          <w:bCs/>
          <w:sz w:val="22"/>
          <w:szCs w:val="22"/>
        </w:rPr>
        <w:t xml:space="preserve">Stage: </w:t>
      </w:r>
      <w:r>
        <w:rPr>
          <w:rFonts w:ascii="Arial" w:cs="Arial" w:eastAsia="Arial" w:hAnsi="Arial"/>
          <w:sz w:val="22"/>
          <w:szCs w:val="22"/>
        </w:rPr>
        <w:t xml:space="preserve">Series A · HQ: London · Team: 18 people · Vertical: Consumer SaaS</w:t>
      </w:r>
    </w:p>
    <w:p>
      <w:pPr>
        <w:spacing w:after="200" w:before="200"/>
      </w:pPr>
    </w:p>
    <w:p>
      <w:pPr>
        <w:pStyle w:val="Heading2"/>
      </w:pPr>
      <w:r>
        <w:rPr>
          <w:b/>
          <w:bCs/>
        </w:rPr>
        <w:t xml:space="preserve">Company Profile</w:t>
      </w:r>
    </w:p>
    <w:p>
      <w:pPr>
        <w:spacing w:after="120"/>
      </w:pPr>
      <w:r>
        <w:rPr>
          <w:rFonts w:ascii="Arial" w:cs="Arial" w:eastAsia="Arial" w:hAnsi="Arial"/>
          <w:sz w:val="22"/>
          <w:szCs w:val="22"/>
        </w:rPr>
        <w:t xml:space="preserve">WriteFlow is a browser-based writing assistant that helps users draft emails, blog posts, and social media copy. Users type a prompt, Claude generates a draft, users edit and iterate. The product has a freemium tier (5 generations/day) and a Pro plan (£12/mo, unlimited).</w:t>
      </w:r>
    </w:p>
    <w:p>
      <w:pPr>
        <w:spacing w:after="120"/>
      </w:pPr>
      <w:r>
        <w:rPr>
          <w:rFonts w:ascii="Arial" w:cs="Arial" w:eastAsia="Arial" w:hAnsi="Arial"/>
          <w:sz w:val="22"/>
          <w:szCs w:val="22"/>
        </w:rPr>
        <w:t xml:space="preserve">Every time a user clicks “Generate” or “Rewrite,” that’s an API call. Primarily Haiku for quick drafts, Sonnet for longer-form content. Their 40K monthly active users generate roughly 2M API calls per month.</w:t>
      </w:r>
    </w:p>
    <w:p>
      <w:pPr>
        <w:pStyle w:val="Heading2"/>
      </w:pPr>
      <w:r>
        <w:rPr>
          <w:b/>
          <w:bCs/>
        </w:rPr>
        <w:t xml:space="preserve">Expected Growth Accounting Profile</w:t>
      </w:r>
    </w:p>
    <w:p>
      <w:pPr>
        <w:spacing w:after="120"/>
      </w:pPr>
      <w:r>
        <w:rPr>
          <w:rFonts w:ascii="Arial" w:cs="Arial" w:eastAsia="Arial" w:hAnsi="Arial"/>
          <w:sz w:val="22"/>
          <w:szCs w:val="22"/>
        </w:rPr>
        <w:t xml:space="preserve">Usage is directly tied to consumer behaviour. Students sign up during essay season and disappear. Marketers churn when budgets get cut. New users flood in after a viral TikTok post, then half leave within a month. The GA chart should be volatile — high new, high churn, with growth driven by acquisition, not retention.</w:t>
      </w:r>
    </w:p>
    <w:p>
      <w:pPr>
        <w:pStyle w:val="Heading3"/>
      </w:pPr>
      <w:r>
        <w:rPr>
          <w:b/>
          <w:bCs/>
        </w:rPr>
        <w:t xml:space="preserve">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2B3544"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2B3544" w:val="clear"/>
            <w:tcMar>
              <w:top w:type="dxa" w:w="60"/>
              <w:left w:type="dxa" w:w="100"/>
              <w:bottom w:type="dxa" w:w="60"/>
              <w:right w:type="dxa" w:w="100"/>
            </w:tcMar>
          </w:tcPr>
          <w:p>
            <w:r>
              <w:rPr>
                <w:rFonts w:ascii="Arial" w:cs="Arial" w:eastAsia="Arial" w:hAnsi="Arial"/>
                <w:b/>
                <w:bCs/>
                <w:color w:val="FFFFFF"/>
                <w:sz w:val="20"/>
                <w:szCs w:val="20"/>
              </w:rPr>
              <w:t xml:space="preserve">Expected Range</w:t>
            </w:r>
          </w:p>
        </w:tc>
        <w:tc>
          <w:tcPr>
            <w:tcW w:type="dxa" w:w="4360"/>
            <w:tcBorders>
              <w:top w:val="single" w:color="CCCCCC" w:sz="1"/>
              <w:left w:val="single" w:color="CCCCCC" w:sz="1"/>
              <w:bottom w:val="single" w:color="CCCCCC" w:sz="1"/>
              <w:right w:val="single" w:color="CCCCCC" w:sz="1"/>
            </w:tcBorders>
            <w:shd w:fill="2B3544"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Gross Retention</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23–70%</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ChartMogul: AI products &lt;$50/mo show 23% GRR</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Net Dollar Retention</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32–85%</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ChartMogul: median AI-native NDR is 48%</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Quick Ratio</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1.5–2.5x</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Tribe Capital: consumer discretionary below 2.0x typical</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Monthly Churn</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4–8%</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Arcade.dev: B2C AI services average 4.04%</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LTV Curve Shape</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Sub-linear</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Tribe Capital: customers pay less in later months</w:t>
            </w:r>
          </w:p>
        </w:tc>
      </w:tr>
    </w:tbl>
    <w:p>
      <w:pPr>
        <w:spacing w:after="200" w:before="200"/>
      </w:pPr>
    </w:p>
    <w:p>
      <w:pPr>
        <w:pStyle w:val="Heading2"/>
      </w:pPr>
      <w:r>
        <w:rPr>
          <w:b/>
          <w:bCs/>
        </w:rPr>
        <w:t xml:space="preserve">What to Watch</w:t>
      </w:r>
    </w:p>
    <w:p>
      <w:pPr>
        <w:pStyle w:val="ListParagraph"/>
        <w:numPr>
          <w:ilvl w:val="0"/>
          <w:numId w:val="2"/>
        </w:numPr>
        <w:spacing w:after="60"/>
      </w:pPr>
      <w:r>
        <w:rPr>
          <w:rFonts w:ascii="Arial" w:cs="Arial" w:eastAsia="Arial" w:hAnsi="Arial"/>
          <w:sz w:val="22"/>
          <w:szCs w:val="22"/>
        </w:rPr>
        <w:t xml:space="preserve">Churn rate vs new acquisition rate. If churn exceeds new for 2+ consecutive months, the product is losing PMF.</w:t>
      </w:r>
    </w:p>
    <w:p>
      <w:pPr>
        <w:pStyle w:val="ListParagraph"/>
        <w:numPr>
          <w:ilvl w:val="0"/>
          <w:numId w:val="2"/>
        </w:numPr>
        <w:spacing w:after="60"/>
      </w:pPr>
      <w:r>
        <w:rPr>
          <w:rFonts w:ascii="Arial" w:cs="Arial" w:eastAsia="Arial" w:hAnsi="Arial"/>
          <w:sz w:val="22"/>
          <w:szCs w:val="22"/>
        </w:rPr>
        <w:t xml:space="preserve">M3-to-M12 retention: a16z’s framework argues that measuring from Month 3 (not Month 0) removes “AI tourists” and gives a truer picture of product-market fit.</w:t>
      </w:r>
    </w:p>
    <w:p>
      <w:pPr>
        <w:pStyle w:val="ListParagraph"/>
        <w:numPr>
          <w:ilvl w:val="0"/>
          <w:numId w:val="2"/>
        </w:numPr>
        <w:spacing w:after="60"/>
      </w:pPr>
      <w:r>
        <w:rPr>
          <w:rFonts w:ascii="Arial" w:cs="Arial" w:eastAsia="Arial" w:hAnsi="Arial"/>
          <w:sz w:val="22"/>
          <w:szCs w:val="22"/>
        </w:rPr>
        <w:t xml:space="preserve">Free-to-paid conversion above 3% is a positive signal (Arcade.dev: only 3% convert globally for ChatGPT).</w:t>
      </w:r>
    </w:p>
    <w:p>
      <w:pPr>
        <w:pStyle w:val="ListParagraph"/>
        <w:numPr>
          <w:ilvl w:val="0"/>
          <w:numId w:val="2"/>
        </w:numPr>
        <w:spacing w:after="60"/>
      </w:pPr>
      <w:r>
        <w:rPr>
          <w:rFonts w:ascii="Arial" w:cs="Arial" w:eastAsia="Arial" w:hAnsi="Arial"/>
          <w:sz w:val="22"/>
          <w:szCs w:val="22"/>
        </w:rPr>
        <w:t xml:space="preserve">Model mix shift toward Sonnet signals premium feature adoption and higher revenue per user.</w:t>
      </w:r>
    </w:p>
    <w:p>
      <w:pPr>
        <w:pStyle w:val="ListParagraph"/>
        <w:numPr>
          <w:ilvl w:val="0"/>
          <w:numId w:val="2"/>
        </w:numPr>
        <w:spacing w:after="60"/>
      </w:pPr>
      <w:r>
        <w:rPr>
          <w:rFonts w:ascii="Arial" w:cs="Arial" w:eastAsia="Arial" w:hAnsi="Arial"/>
          <w:sz w:val="22"/>
          <w:szCs w:val="22"/>
        </w:rPr>
        <w:t xml:space="preserve">DAU/MAU above 30% indicates genuine daily engagement (ChatGPT is at 36% per Arcade.dev).</w:t>
      </w:r>
    </w:p>
    <w:p>
      <w:pPr>
        <w:pStyle w:val="Heading3"/>
      </w:pPr>
      <w:r>
        <w:rPr>
          <w:b/>
          <w:bCs/>
        </w:rPr>
        <w:t xml:space="preserve">Red Flags</w:t>
      </w:r>
    </w:p>
    <w:p>
      <w:pPr>
        <w:pStyle w:val="ListParagraph"/>
        <w:numPr>
          <w:ilvl w:val="0"/>
          <w:numId w:val="2"/>
        </w:numPr>
        <w:spacing w:after="60"/>
      </w:pPr>
      <w:r>
        <w:rPr>
          <w:rFonts w:ascii="Arial" w:cs="Arial" w:eastAsia="Arial" w:hAnsi="Arial"/>
          <w:sz w:val="22"/>
          <w:szCs w:val="22"/>
        </w:rPr>
        <w:t xml:space="preserve">GRR below 30% — most users churning within first 3 months</w:t>
      </w:r>
    </w:p>
    <w:p>
      <w:pPr>
        <w:pStyle w:val="ListParagraph"/>
        <w:numPr>
          <w:ilvl w:val="0"/>
          <w:numId w:val="2"/>
        </w:numPr>
        <w:spacing w:after="60"/>
      </w:pPr>
      <w:r>
        <w:rPr>
          <w:rFonts w:ascii="Arial" w:cs="Arial" w:eastAsia="Arial" w:hAnsi="Arial"/>
          <w:sz w:val="22"/>
          <w:szCs w:val="22"/>
        </w:rPr>
        <w:t xml:space="preserve">Quick Ratio below 1.5 — revenue declining or barely growing</w:t>
      </w:r>
    </w:p>
    <w:p>
      <w:pPr>
        <w:pStyle w:val="ListParagraph"/>
        <w:numPr>
          <w:ilvl w:val="0"/>
          <w:numId w:val="2"/>
        </w:numPr>
        <w:spacing w:after="60"/>
      </w:pPr>
      <w:r>
        <w:rPr>
          <w:rFonts w:ascii="Arial" w:cs="Arial" w:eastAsia="Arial" w:hAnsi="Arial"/>
          <w:sz w:val="22"/>
          <w:szCs w:val="22"/>
        </w:rPr>
        <w:t xml:space="preserve">Growth entirely dependent on new acquisition with no retained base</w:t>
      </w:r>
    </w:p>
    <w:p>
      <w:pPr>
        <w:pStyle w:val="ListParagraph"/>
        <w:numPr>
          <w:ilvl w:val="0"/>
          <w:numId w:val="2"/>
        </w:numPr>
        <w:spacing w:after="60"/>
      </w:pPr>
      <w:r>
        <w:rPr>
          <w:rFonts w:ascii="Arial" w:cs="Arial" w:eastAsia="Arial" w:hAnsi="Arial"/>
          <w:sz w:val="22"/>
          <w:szCs w:val="22"/>
        </w:rPr>
        <w:t xml:space="preserve">NDR below 40% at any price point</w:t>
      </w:r>
    </w:p>
    <w:p>
      <w:r>
        <w:br w:type="page"/>
      </w:r>
    </w:p>
    <w:p>
      <w:pPr>
        <w:pStyle w:val="Heading1"/>
      </w:pPr>
      <w:r>
        <w:rPr>
          <w:b/>
          <w:bCs/>
        </w:rPr>
        <w:t xml:space="preserve">Case Study 2: FinLedger — Internal Developer Tooling</w:t>
      </w:r>
    </w:p>
    <w:p>
      <w:pPr>
        <w:spacing w:after="100"/>
      </w:pPr>
      <w:r>
        <w:rPr>
          <w:rFonts w:ascii="Arial" w:cs="Arial" w:eastAsia="Arial" w:hAnsi="Arial"/>
          <w:b/>
          <w:bCs/>
          <w:sz w:val="22"/>
          <w:szCs w:val="22"/>
        </w:rPr>
        <w:t xml:space="preserve">Stage: </w:t>
      </w:r>
      <w:r>
        <w:rPr>
          <w:rFonts w:ascii="Arial" w:cs="Arial" w:eastAsia="Arial" w:hAnsi="Arial"/>
          <w:sz w:val="22"/>
          <w:szCs w:val="22"/>
        </w:rPr>
        <w:t xml:space="preserve">Seed · HQ: Berlin · Team: 6 people (4 engineers) · Vertical: Fintech</w:t>
      </w:r>
    </w:p>
    <w:p>
      <w:pPr>
        <w:spacing w:after="200" w:before="200"/>
      </w:pPr>
    </w:p>
    <w:p>
      <w:pPr>
        <w:pStyle w:val="Heading2"/>
      </w:pPr>
      <w:r>
        <w:rPr>
          <w:b/>
          <w:bCs/>
        </w:rPr>
        <w:t xml:space="preserve">Company Profile</w:t>
      </w:r>
    </w:p>
    <w:p>
      <w:pPr>
        <w:spacing w:after="120"/>
      </w:pPr>
      <w:r>
        <w:rPr>
          <w:rFonts w:ascii="Arial" w:cs="Arial" w:eastAsia="Arial" w:hAnsi="Arial"/>
          <w:sz w:val="22"/>
          <w:szCs w:val="22"/>
        </w:rPr>
        <w:t xml:space="preserve">FinLedger builds accounting automation for European SMEs. Their product has nothing to do with AI — it’s a bookkeeping tool. But their engineering team uses Claude’s API daily: reviewing pull requests, generating unit tests, writing documentation, and debugging. They have 4 API keys (one per engineer).</w:t>
      </w:r>
    </w:p>
    <w:p>
      <w:pPr>
        <w:spacing w:after="120"/>
      </w:pPr>
      <w:r>
        <w:rPr>
          <w:rFonts w:ascii="Arial" w:cs="Arial" w:eastAsia="Arial" w:hAnsi="Arial"/>
          <w:sz w:val="22"/>
          <w:szCs w:val="22"/>
        </w:rPr>
        <w:t xml:space="preserve">Engineers paste code into internal tools that call Claude’s API. Sonnet for code review (needs reasoning quality), Haiku for test boilerplate. Usage is steady Monday–Friday, drops on weekends. Approximately 50K API calls per month.</w:t>
      </w:r>
    </w:p>
    <w:p>
      <w:pPr>
        <w:pStyle w:val="Heading2"/>
      </w:pPr>
      <w:r>
        <w:rPr>
          <w:b/>
          <w:bCs/>
        </w:rPr>
        <w:t xml:space="preserve">Why Traditional GA Doesn’t Fully Apply</w:t>
      </w:r>
    </w:p>
    <w:p>
      <w:pPr>
        <w:spacing w:after="120"/>
      </w:pPr>
      <w:r>
        <w:rPr>
          <w:rFonts w:ascii="Arial" w:cs="Arial" w:eastAsia="Arial" w:hAnsi="Arial"/>
          <w:sz w:val="22"/>
          <w:szCs w:val="22"/>
        </w:rPr>
        <w:t xml:space="preserve">With 3–10 users, standard growth accounting metrics produce statistically meaningless noise. There’s no distribution of customers sufficient for cohort analysis. Retention is binary — either the team uses it or they switch tools entirely.</w:t>
      </w:r>
    </w:p>
    <w:p>
      <w:pPr>
        <w:spacing w:after="120"/>
      </w:pPr>
      <w:r>
        <w:rPr>
          <w:rFonts w:ascii="Arial" w:cs="Arial" w:eastAsia="Arial" w:hAnsi="Arial"/>
          <w:sz w:val="22"/>
          <w:szCs w:val="22"/>
        </w:rPr>
        <w:t xml:space="preserve">The value story for FinLedger is better told through the revenue trend line (flat and sticky) and the step-function expansions when they adopt a new Claude use case (CI pipeline at month 9, documentation generation at month 16).</w:t>
      </w:r>
    </w:p>
    <w:p>
      <w:pPr>
        <w:pStyle w:val="Heading3"/>
      </w:pPr>
      <w:r>
        <w:rPr>
          <w:b/>
          <w:bCs/>
        </w:rPr>
        <w:t xml:space="preserve">What to Measure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2B3544"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2B3544" w:val="clear"/>
            <w:tcMar>
              <w:top w:type="dxa" w:w="60"/>
              <w:left w:type="dxa" w:w="100"/>
              <w:bottom w:type="dxa" w:w="60"/>
              <w:right w:type="dxa" w:w="100"/>
            </w:tcMar>
          </w:tcPr>
          <w:p>
            <w:r>
              <w:rPr>
                <w:rFonts w:ascii="Arial" w:cs="Arial" w:eastAsia="Arial" w:hAnsi="Arial"/>
                <w:b/>
                <w:bCs/>
                <w:color w:val="FFFFFF"/>
                <w:sz w:val="20"/>
                <w:szCs w:val="20"/>
              </w:rPr>
              <w:t xml:space="preserve">Expected Range</w:t>
            </w:r>
          </w:p>
        </w:tc>
        <w:tc>
          <w:tcPr>
            <w:tcW w:type="dxa" w:w="4360"/>
            <w:tcBorders>
              <w:top w:val="single" w:color="CCCCCC" w:sz="1"/>
              <w:left w:val="single" w:color="CCCCCC" w:sz="1"/>
              <w:bottom w:val="single" w:color="CCCCCC" w:sz="1"/>
              <w:right w:val="single" w:color="CCCCCC" w:sz="1"/>
            </w:tcBorders>
            <w:shd w:fill="2B3544"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 calls/dev/week</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Increasing trend</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Usage intensity = engagement proxy</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 of team active</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80–100%</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GitHub Copilot: 96% same-day retention</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Week-over-week trend</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Flat or growing</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Equivalent to QR for small teams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Usage concentration</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Distributed</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Single-dev dependency = bus factor risk</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Monthly spend growth</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5–15% MoM</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Twilio historical NDR: 136–140%</w:t>
            </w:r>
          </w:p>
        </w:tc>
      </w:tr>
    </w:tbl>
    <w:p>
      <w:pPr>
        <w:spacing w:after="200" w:before="200"/>
      </w:pPr>
    </w:p>
    <w:p>
      <w:pPr>
        <w:pStyle w:val="Heading2"/>
      </w:pPr>
      <w:r>
        <w:rPr>
          <w:b/>
          <w:bCs/>
        </w:rPr>
        <w:t xml:space="preserve">What to Watch</w:t>
      </w:r>
    </w:p>
    <w:p>
      <w:pPr>
        <w:pStyle w:val="ListParagraph"/>
        <w:numPr>
          <w:ilvl w:val="0"/>
          <w:numId w:val="2"/>
        </w:numPr>
        <w:spacing w:after="60"/>
      </w:pPr>
      <w:r>
        <w:rPr>
          <w:rFonts w:ascii="Arial" w:cs="Arial" w:eastAsia="Arial" w:hAnsi="Arial"/>
          <w:sz w:val="22"/>
          <w:szCs w:val="22"/>
        </w:rPr>
        <w:t xml:space="preserve">Step-function jumps in usage = new use case adopted. This is the primary expansion signal.</w:t>
      </w:r>
    </w:p>
    <w:p>
      <w:pPr>
        <w:pStyle w:val="ListParagraph"/>
        <w:numPr>
          <w:ilvl w:val="0"/>
          <w:numId w:val="2"/>
        </w:numPr>
        <w:spacing w:after="60"/>
      </w:pPr>
      <w:r>
        <w:rPr>
          <w:rFonts w:ascii="Arial" w:cs="Arial" w:eastAsia="Arial" w:hAnsi="Arial"/>
          <w:sz w:val="22"/>
          <w:szCs w:val="22"/>
        </w:rPr>
        <w:t xml:space="preserve">Active developer ratio dropping below 50% = half the team stopped using it.</w:t>
      </w:r>
    </w:p>
    <w:p>
      <w:pPr>
        <w:pStyle w:val="ListParagraph"/>
        <w:numPr>
          <w:ilvl w:val="0"/>
          <w:numId w:val="2"/>
        </w:numPr>
        <w:spacing w:after="60"/>
      </w:pPr>
      <w:r>
        <w:rPr>
          <w:rFonts w:ascii="Arial" w:cs="Arial" w:eastAsia="Arial" w:hAnsi="Arial"/>
          <w:sz w:val="22"/>
          <w:szCs w:val="22"/>
        </w:rPr>
        <w:t xml:space="preserve">Usage concentrated in a single developer = bus factor risk, not genuine team adoption.</w:t>
      </w:r>
    </w:p>
    <w:p>
      <w:pPr>
        <w:pStyle w:val="ListParagraph"/>
        <w:numPr>
          <w:ilvl w:val="0"/>
          <w:numId w:val="2"/>
        </w:numPr>
        <w:spacing w:after="60"/>
      </w:pPr>
      <w:r>
        <w:rPr>
          <w:rFonts w:ascii="Arial" w:cs="Arial" w:eastAsia="Arial" w:hAnsi="Arial"/>
          <w:sz w:val="22"/>
          <w:szCs w:val="22"/>
        </w:rPr>
        <w:t xml:space="preserve">Team experimenting with alternative tools (GitHub Copilot, Cursor) = competitive pressure.</w:t>
      </w:r>
    </w:p>
    <w:p>
      <w:pPr>
        <w:pStyle w:val="ListParagraph"/>
        <w:numPr>
          <w:ilvl w:val="0"/>
          <w:numId w:val="2"/>
        </w:numPr>
        <w:spacing w:after="60"/>
      </w:pPr>
      <w:r>
        <w:rPr>
          <w:rFonts w:ascii="Arial" w:cs="Arial" w:eastAsia="Arial" w:hAnsi="Arial"/>
          <w:sz w:val="22"/>
          <w:szCs w:val="22"/>
        </w:rPr>
        <w:t xml:space="preserve">Cost per useful output rising = more API calls needed for same result, efficiency declining.</w:t>
      </w:r>
    </w:p>
    <w:p>
      <w:pPr>
        <w:pStyle w:val="Heading3"/>
      </w:pPr>
      <w:r>
        <w:rPr>
          <w:b/>
          <w:bCs/>
        </w:rPr>
        <w:t xml:space="preserve">Green Flags</w:t>
      </w:r>
    </w:p>
    <w:p>
      <w:pPr>
        <w:pStyle w:val="ListParagraph"/>
        <w:numPr>
          <w:ilvl w:val="0"/>
          <w:numId w:val="2"/>
        </w:numPr>
        <w:spacing w:after="60"/>
      </w:pPr>
      <w:r>
        <w:rPr>
          <w:rFonts w:ascii="Arial" w:cs="Arial" w:eastAsia="Arial" w:hAnsi="Arial"/>
          <w:sz w:val="22"/>
          <w:szCs w:val="22"/>
        </w:rPr>
        <w:t xml:space="preserve">All team members making API calls weekly (100% activation)</w:t>
      </w:r>
    </w:p>
    <w:p>
      <w:pPr>
        <w:pStyle w:val="ListParagraph"/>
        <w:numPr>
          <w:ilvl w:val="0"/>
          <w:numId w:val="2"/>
        </w:numPr>
        <w:spacing w:after="60"/>
      </w:pPr>
      <w:r>
        <w:rPr>
          <w:rFonts w:ascii="Arial" w:cs="Arial" w:eastAsia="Arial" w:hAnsi="Arial"/>
          <w:sz w:val="22"/>
          <w:szCs w:val="22"/>
        </w:rPr>
        <w:t xml:space="preserve">New use cases emerging organically (started with code review, now docs + tests)</w:t>
      </w:r>
    </w:p>
    <w:p>
      <w:pPr>
        <w:pStyle w:val="ListParagraph"/>
        <w:numPr>
          <w:ilvl w:val="0"/>
          <w:numId w:val="2"/>
        </w:numPr>
        <w:spacing w:after="60"/>
      </w:pPr>
      <w:r>
        <w:rPr>
          <w:rFonts w:ascii="Arial" w:cs="Arial" w:eastAsia="Arial" w:hAnsi="Arial"/>
          <w:sz w:val="22"/>
          <w:szCs w:val="22"/>
        </w:rPr>
        <w:t xml:space="preserve">Tool integrated into CI/CD pipelines (systematic, not ad-hoc)</w:t>
      </w:r>
    </w:p>
    <w:p>
      <w:pPr>
        <w:pStyle w:val="ListParagraph"/>
        <w:numPr>
          <w:ilvl w:val="0"/>
          <w:numId w:val="2"/>
        </w:numPr>
        <w:spacing w:after="60"/>
      </w:pPr>
      <w:r>
        <w:rPr>
          <w:rFonts w:ascii="Arial" w:cs="Arial" w:eastAsia="Arial" w:hAnsi="Arial"/>
          <w:sz w:val="22"/>
          <w:szCs w:val="22"/>
        </w:rPr>
        <w:t xml:space="preserve">Team requesting budget increases for higher API tier</w:t>
      </w:r>
    </w:p>
    <w:p>
      <w:r>
        <w:br w:type="page"/>
      </w:r>
    </w:p>
    <w:p>
      <w:pPr>
        <w:pStyle w:val="Heading1"/>
      </w:pPr>
      <w:r>
        <w:rPr>
          <w:b/>
          <w:bCs/>
        </w:rPr>
        <w:t xml:space="preserve">Case Study 3: BrieflyAI — B2B Meeting Summarisation</w:t>
      </w:r>
    </w:p>
    <w:p>
      <w:pPr>
        <w:spacing w:after="100"/>
      </w:pPr>
      <w:r>
        <w:rPr>
          <w:rFonts w:ascii="Arial" w:cs="Arial" w:eastAsia="Arial" w:hAnsi="Arial"/>
          <w:b/>
          <w:bCs/>
          <w:sz w:val="22"/>
          <w:szCs w:val="22"/>
        </w:rPr>
        <w:t xml:space="preserve">Stage: </w:t>
      </w:r>
      <w:r>
        <w:rPr>
          <w:rFonts w:ascii="Arial" w:cs="Arial" w:eastAsia="Arial" w:hAnsi="Arial"/>
          <w:sz w:val="22"/>
          <w:szCs w:val="22"/>
        </w:rPr>
        <w:t xml:space="preserve">Series A · HQ: Amsterdam · Team: 22 people · Vertical: Enterprise Productivity</w:t>
      </w:r>
    </w:p>
    <w:p>
      <w:pPr>
        <w:spacing w:after="200" w:before="200"/>
      </w:pPr>
    </w:p>
    <w:p>
      <w:pPr>
        <w:pStyle w:val="Heading2"/>
      </w:pPr>
      <w:r>
        <w:rPr>
          <w:b/>
          <w:bCs/>
        </w:rPr>
        <w:t xml:space="preserve">Company Profile</w:t>
      </w:r>
    </w:p>
    <w:p>
      <w:pPr>
        <w:spacing w:after="120"/>
      </w:pPr>
      <w:r>
        <w:rPr>
          <w:rFonts w:ascii="Arial" w:cs="Arial" w:eastAsia="Arial" w:hAnsi="Arial"/>
          <w:sz w:val="22"/>
          <w:szCs w:val="22"/>
        </w:rPr>
        <w:t xml:space="preserve">BrieflyAI records and transcribes business meetings, then uses Claude to generate structured summaries with action items, decisions, and follow-ups. Sold to companies on a per-seat basis (£15/seat/month). Their clients are mid-market firms with 20–200 employees. 45 enterprise clients running approximately 3,000 meetings per week.</w:t>
      </w:r>
    </w:p>
    <w:p>
      <w:pPr>
        <w:spacing w:after="120"/>
      </w:pPr>
      <w:r>
        <w:rPr>
          <w:rFonts w:ascii="Arial" w:cs="Arial" w:eastAsia="Arial" w:hAnsi="Arial"/>
          <w:sz w:val="22"/>
          <w:szCs w:val="22"/>
        </w:rPr>
        <w:t xml:space="preserve">After every meeting ends, the transcript is sent to Claude (Sonnet for quality). A 30-minute meeting generates roughly 8K tokens of transcript producing 2K tokens of structured output.</w:t>
      </w:r>
    </w:p>
    <w:p>
      <w:pPr>
        <w:pStyle w:val="Heading2"/>
      </w:pPr>
      <w:r>
        <w:rPr>
          <w:b/>
          <w:bCs/>
        </w:rPr>
        <w:t xml:space="preserve">Expected Growth Accounting Profile</w:t>
      </w:r>
    </w:p>
    <w:p>
      <w:pPr>
        <w:spacing w:after="120"/>
      </w:pPr>
      <w:r>
        <w:rPr>
          <w:rFonts w:ascii="Arial" w:cs="Arial" w:eastAsia="Arial" w:hAnsi="Arial"/>
          <w:sz w:val="22"/>
          <w:szCs w:val="22"/>
        </w:rPr>
        <w:t xml:space="preserve">Each enterprise client represents a block of predictable, recurring API usage. When BrieflyAI wins a new client, it shows as a step-function increase in revenue. When a client cancels (rare — the summaries become part of their workflow), it’s a visible cliff. The GA chart shows high retained revenue, occasional large expansion events, very low churn, and super-linear LTV curves.</w:t>
      </w:r>
    </w:p>
    <w:p>
      <w:pPr>
        <w:spacing w:after="120"/>
      </w:pPr>
      <w:r>
        <w:rPr>
          <w:rFonts w:ascii="Arial" w:cs="Arial" w:eastAsia="Arial" w:hAnsi="Arial"/>
          <w:sz w:val="22"/>
          <w:szCs w:val="22"/>
        </w:rPr>
        <w:t xml:space="preserve">This is Tribe Capital’s canonical example of a healthy B2B SaaS profile: growth rate of ~10% composed of 9% new + 4% expansion - 4% contraction - 0% churn, with negative net churn meaning the existing base grows without any new logos.</w:t>
      </w:r>
    </w:p>
    <w:p>
      <w:pPr>
        <w:pStyle w:val="Heading3"/>
      </w:pPr>
      <w:r>
        <w:rPr>
          <w:b/>
          <w:bCs/>
        </w:rPr>
        <w:t xml:space="preserve">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2B3544"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2B3544" w:val="clear"/>
            <w:tcMar>
              <w:top w:type="dxa" w:w="60"/>
              <w:left w:type="dxa" w:w="100"/>
              <w:bottom w:type="dxa" w:w="60"/>
              <w:right w:type="dxa" w:w="100"/>
            </w:tcMar>
          </w:tcPr>
          <w:p>
            <w:r>
              <w:rPr>
                <w:rFonts w:ascii="Arial" w:cs="Arial" w:eastAsia="Arial" w:hAnsi="Arial"/>
                <w:b/>
                <w:bCs/>
                <w:color w:val="FFFFFF"/>
                <w:sz w:val="20"/>
                <w:szCs w:val="20"/>
              </w:rPr>
              <w:t xml:space="preserve">Expected Range</w:t>
            </w:r>
          </w:p>
        </w:tc>
        <w:tc>
          <w:tcPr>
            <w:tcW w:type="dxa" w:w="4360"/>
            <w:tcBorders>
              <w:top w:val="single" w:color="CCCCCC" w:sz="1"/>
              <w:left w:val="single" w:color="CCCCCC" w:sz="1"/>
              <w:bottom w:val="single" w:color="CCCCCC" w:sz="1"/>
              <w:right w:val="single" w:color="CCCCCC" w:sz="1"/>
            </w:tcBorders>
            <w:shd w:fill="2B3544"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Gross Retention</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90–95%</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SaaS Capital: median B2B SaaS GRR 91%</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Net Dollar Retention</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105–120%</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SaaS Capital: enterprise ACV &gt;$100k median 110–118%</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Quick Ratio</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4.0–8.0x</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Mamoon Hamid/Social Capital benchmark for B2B</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Annual Logo Churn</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5–10%</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SaaS Capital: enterprise contracts are sticky</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LTV Curve Shape</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Super-linear</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Tribe Capital: cohort revenue increases with age</w:t>
            </w:r>
          </w:p>
        </w:tc>
      </w:tr>
    </w:tbl>
    <w:p>
      <w:pPr>
        <w:spacing w:after="200" w:before="200"/>
      </w:pPr>
    </w:p>
    <w:p>
      <w:pPr>
        <w:pStyle w:val="Heading2"/>
      </w:pPr>
      <w:r>
        <w:rPr>
          <w:b/>
          <w:bCs/>
        </w:rPr>
        <w:t xml:space="preserve">What to Watch</w:t>
      </w:r>
    </w:p>
    <w:p>
      <w:pPr>
        <w:pStyle w:val="ListParagraph"/>
        <w:numPr>
          <w:ilvl w:val="0"/>
          <w:numId w:val="2"/>
        </w:numPr>
        <w:spacing w:after="60"/>
      </w:pPr>
      <w:r>
        <w:rPr>
          <w:rFonts w:ascii="Arial" w:cs="Arial" w:eastAsia="Arial" w:hAnsi="Arial"/>
          <w:sz w:val="22"/>
          <w:szCs w:val="22"/>
        </w:rPr>
        <w:t xml:space="preserve">Client acquisition cadence — are step-functions getting bigger or smaller over time?</w:t>
      </w:r>
    </w:p>
    <w:p>
      <w:pPr>
        <w:pStyle w:val="ListParagraph"/>
        <w:numPr>
          <w:ilvl w:val="0"/>
          <w:numId w:val="2"/>
        </w:numPr>
        <w:spacing w:after="60"/>
      </w:pPr>
      <w:r>
        <w:rPr>
          <w:rFonts w:ascii="Arial" w:cs="Arial" w:eastAsia="Arial" w:hAnsi="Arial"/>
          <w:sz w:val="22"/>
          <w:szCs w:val="22"/>
        </w:rPr>
        <w:t xml:space="preserve">Seat expansion within accounts — are existing clients deploying to more teams without active sales effort?</w:t>
      </w:r>
    </w:p>
    <w:p>
      <w:pPr>
        <w:pStyle w:val="ListParagraph"/>
        <w:numPr>
          <w:ilvl w:val="0"/>
          <w:numId w:val="2"/>
        </w:numPr>
        <w:spacing w:after="60"/>
      </w:pPr>
      <w:r>
        <w:rPr>
          <w:rFonts w:ascii="Arial" w:cs="Arial" w:eastAsia="Arial" w:hAnsi="Arial"/>
          <w:sz w:val="22"/>
          <w:szCs w:val="22"/>
        </w:rPr>
        <w:t xml:space="preserve">Model mix trending toward Opus = handling more complex, longer meetings. Revenue expansion without volume change.</w:t>
      </w:r>
    </w:p>
    <w:p>
      <w:pPr>
        <w:pStyle w:val="ListParagraph"/>
        <w:numPr>
          <w:ilvl w:val="0"/>
          <w:numId w:val="2"/>
        </w:numPr>
        <w:spacing w:after="60"/>
      </w:pPr>
      <w:r>
        <w:rPr>
          <w:rFonts w:ascii="Arial" w:cs="Arial" w:eastAsia="Arial" w:hAnsi="Arial"/>
          <w:sz w:val="22"/>
          <w:szCs w:val="22"/>
        </w:rPr>
        <w:t xml:space="preserve">Any churn cliff = lost enterprise client. Investigate immediately — rare events carry outsized signal.</w:t>
      </w:r>
    </w:p>
    <w:p>
      <w:pPr>
        <w:pStyle w:val="ListParagraph"/>
        <w:numPr>
          <w:ilvl w:val="0"/>
          <w:numId w:val="2"/>
        </w:numPr>
        <w:spacing w:after="60"/>
      </w:pPr>
      <w:r>
        <w:rPr>
          <w:rFonts w:ascii="Arial" w:cs="Arial" w:eastAsia="Arial" w:hAnsi="Arial"/>
          <w:sz w:val="22"/>
          <w:szCs w:val="22"/>
        </w:rPr>
        <w:t xml:space="preserve">NDR above 110% confirms the land-and-expand motion is working.</w:t>
      </w:r>
    </w:p>
    <w:p>
      <w:pPr>
        <w:pStyle w:val="Heading3"/>
      </w:pPr>
      <w:r>
        <w:rPr>
          <w:b/>
          <w:bCs/>
        </w:rPr>
        <w:t xml:space="preserve">Red Flags</w:t>
      </w:r>
    </w:p>
    <w:p>
      <w:pPr>
        <w:pStyle w:val="ListParagraph"/>
        <w:numPr>
          <w:ilvl w:val="0"/>
          <w:numId w:val="2"/>
        </w:numPr>
        <w:spacing w:after="60"/>
      </w:pPr>
      <w:r>
        <w:rPr>
          <w:rFonts w:ascii="Arial" w:cs="Arial" w:eastAsia="Arial" w:hAnsi="Arial"/>
          <w:sz w:val="22"/>
          <w:szCs w:val="22"/>
        </w:rPr>
        <w:t xml:space="preserve">GRR falling below 85% — below SaaS Capital median, signals product issues</w:t>
      </w:r>
    </w:p>
    <w:p>
      <w:pPr>
        <w:pStyle w:val="ListParagraph"/>
        <w:numPr>
          <w:ilvl w:val="0"/>
          <w:numId w:val="2"/>
        </w:numPr>
        <w:spacing w:after="60"/>
      </w:pPr>
      <w:r>
        <w:rPr>
          <w:rFonts w:ascii="Arial" w:cs="Arial" w:eastAsia="Arial" w:hAnsi="Arial"/>
          <w:sz w:val="22"/>
          <w:szCs w:val="22"/>
        </w:rPr>
        <w:t xml:space="preserve">NDR below 100% — existing base shrinking, enterprise products should be expanding</w:t>
      </w:r>
    </w:p>
    <w:p>
      <w:pPr>
        <w:pStyle w:val="ListParagraph"/>
        <w:numPr>
          <w:ilvl w:val="0"/>
          <w:numId w:val="2"/>
        </w:numPr>
        <w:spacing w:after="60"/>
      </w:pPr>
      <w:r>
        <w:rPr>
          <w:rFonts w:ascii="Arial" w:cs="Arial" w:eastAsia="Arial" w:hAnsi="Arial"/>
          <w:sz w:val="22"/>
          <w:szCs w:val="22"/>
        </w:rPr>
        <w:t xml:space="preserve">Revenue concentration: top 5% of clients generating &gt;50% of revenue creates dangerous dependency</w:t>
      </w:r>
    </w:p>
    <w:p>
      <w:pPr>
        <w:pStyle w:val="ListParagraph"/>
        <w:numPr>
          <w:ilvl w:val="0"/>
          <w:numId w:val="2"/>
        </w:numPr>
        <w:spacing w:after="60"/>
      </w:pPr>
      <w:r>
        <w:rPr>
          <w:rFonts w:ascii="Arial" w:cs="Arial" w:eastAsia="Arial" w:hAnsi="Arial"/>
          <w:sz w:val="22"/>
          <w:szCs w:val="22"/>
        </w:rPr>
        <w:t xml:space="preserve">Quick Ratio below 2.0 (Tribe Capital flags this as concerning for B2B)</w:t>
      </w:r>
    </w:p>
    <w:p>
      <w:r>
        <w:br w:type="page"/>
      </w:r>
    </w:p>
    <w:p>
      <w:pPr>
        <w:pStyle w:val="Heading1"/>
      </w:pPr>
      <w:r>
        <w:rPr>
          <w:b/>
          <w:bCs/>
        </w:rPr>
        <w:t xml:space="preserve">Cross-Use-Case Comparison</w:t>
      </w:r>
    </w:p>
    <w:p>
      <w:pPr>
        <w:spacing w:after="120"/>
      </w:pPr>
      <w:r>
        <w:rPr>
          <w:rFonts w:ascii="Arial" w:cs="Arial" w:eastAsia="Arial" w:hAnsi="Arial"/>
          <w:sz w:val="22"/>
          <w:szCs w:val="22"/>
        </w:rPr>
        <w:t xml:space="preserve">The table below summarises how the same metrics carry different interpretations across the three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c>
          <w:tcPr>
            <w:tcW w:type="dxa" w:w="2000"/>
            <w:tcBorders>
              <w:top w:val="single" w:color="CCCCCC" w:sz="1"/>
              <w:left w:val="single" w:color="CCCCCC" w:sz="1"/>
              <w:bottom w:val="single" w:color="CCCCCC" w:sz="1"/>
              <w:right w:val="single" w:color="CCCCCC" w:sz="1"/>
            </w:tcBorders>
            <w:shd w:fill="2B3544" w:val="clear"/>
            <w:tcMar>
              <w:top w:type="dxa" w:w="50"/>
              <w:left w:type="dxa" w:w="80"/>
              <w:bottom w:type="dxa" w:w="50"/>
              <w:right w:type="dxa" w:w="80"/>
            </w:tcMar>
          </w:tcPr>
          <w:p>
            <w:r>
              <w:rPr>
                <w:rFonts w:ascii="Arial" w:cs="Arial" w:eastAsia="Arial" w:hAnsi="Arial"/>
                <w:b/>
                <w:bCs/>
                <w:color w:val="FFFFFF"/>
                <w:sz w:val="18"/>
                <w:szCs w:val="18"/>
              </w:rPr>
              <w:t xml:space="preserve">Metric</w:t>
            </w:r>
          </w:p>
        </w:tc>
        <w:tc>
          <w:tcPr>
            <w:tcW w:type="dxa" w:w="2342"/>
            <w:tcBorders>
              <w:top w:val="single" w:color="CCCCCC" w:sz="1"/>
              <w:left w:val="single" w:color="CCCCCC" w:sz="1"/>
              <w:bottom w:val="single" w:color="CCCCCC" w:sz="1"/>
              <w:right w:val="single" w:color="CCCCCC" w:sz="1"/>
            </w:tcBorders>
            <w:shd w:fill="2B3544" w:val="clear"/>
            <w:tcMar>
              <w:top w:type="dxa" w:w="50"/>
              <w:left w:type="dxa" w:w="80"/>
              <w:bottom w:type="dxa" w:w="50"/>
              <w:right w:type="dxa" w:w="80"/>
            </w:tcMar>
          </w:tcPr>
          <w:p>
            <w:r>
              <w:rPr>
                <w:rFonts w:ascii="Arial" w:cs="Arial" w:eastAsia="Arial" w:hAnsi="Arial"/>
                <w:b/>
                <w:bCs/>
                <w:color w:val="FFFFFF"/>
                <w:sz w:val="18"/>
                <w:szCs w:val="18"/>
              </w:rPr>
              <w:t xml:space="preserve">Consumer (WriteFlow)</w:t>
            </w:r>
          </w:p>
        </w:tc>
        <w:tc>
          <w:tcPr>
            <w:tcW w:type="dxa" w:w="2342"/>
            <w:tcBorders>
              <w:top w:val="single" w:color="CCCCCC" w:sz="1"/>
              <w:left w:val="single" w:color="CCCCCC" w:sz="1"/>
              <w:bottom w:val="single" w:color="CCCCCC" w:sz="1"/>
              <w:right w:val="single" w:color="CCCCCC" w:sz="1"/>
            </w:tcBorders>
            <w:shd w:fill="2B3544" w:val="clear"/>
            <w:tcMar>
              <w:top w:type="dxa" w:w="50"/>
              <w:left w:type="dxa" w:w="80"/>
              <w:bottom w:type="dxa" w:w="50"/>
              <w:right w:type="dxa" w:w="80"/>
            </w:tcMar>
          </w:tcPr>
          <w:p>
            <w:r>
              <w:rPr>
                <w:rFonts w:ascii="Arial" w:cs="Arial" w:eastAsia="Arial" w:hAnsi="Arial"/>
                <w:b/>
                <w:bCs/>
                <w:color w:val="FFFFFF"/>
                <w:sz w:val="18"/>
                <w:szCs w:val="18"/>
              </w:rPr>
              <w:t xml:space="preserve">Dev Tooling (FinLedger)</w:t>
            </w:r>
          </w:p>
        </w:tc>
        <w:tc>
          <w:tcPr>
            <w:tcW w:type="dxa" w:w="2342"/>
            <w:tcBorders>
              <w:top w:val="single" w:color="CCCCCC" w:sz="1"/>
              <w:left w:val="single" w:color="CCCCCC" w:sz="1"/>
              <w:bottom w:val="single" w:color="CCCCCC" w:sz="1"/>
              <w:right w:val="single" w:color="CCCCCC" w:sz="1"/>
            </w:tcBorders>
            <w:shd w:fill="2B3544" w:val="clear"/>
            <w:tcMar>
              <w:top w:type="dxa" w:w="50"/>
              <w:left w:type="dxa" w:w="80"/>
              <w:bottom w:type="dxa" w:w="50"/>
              <w:right w:type="dxa" w:w="80"/>
            </w:tcMar>
          </w:tcPr>
          <w:p>
            <w:r>
              <w:rPr>
                <w:rFonts w:ascii="Arial" w:cs="Arial" w:eastAsia="Arial" w:hAnsi="Arial"/>
                <w:b/>
                <w:bCs/>
                <w:color w:val="FFFFFF"/>
                <w:sz w:val="18"/>
                <w:szCs w:val="18"/>
              </w:rPr>
              <w:t xml:space="preserve">B2B Enterprise (BrieflyAI)</w:t>
            </w:r>
          </w:p>
        </w:tc>
      </w:tr>
      <w:tr>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Gross Retention</w:t>
            </w:r>
          </w:p>
        </w:tc>
        <w:tc>
          <w:tcPr>
            <w:tcW w:type="dxa" w:w="234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23–70%</w:t>
            </w:r>
          </w:p>
        </w:tc>
        <w:tc>
          <w:tcPr>
            <w:tcW w:type="dxa" w:w="234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~100% (binary)</w:t>
            </w:r>
          </w:p>
        </w:tc>
        <w:tc>
          <w:tcPr>
            <w:tcW w:type="dxa" w:w="234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90–95%</w:t>
            </w:r>
          </w:p>
        </w:tc>
      </w:tr>
      <w:tr>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NDR</w:t>
            </w:r>
          </w:p>
        </w:tc>
        <w:tc>
          <w:tcPr>
            <w:tcW w:type="dxa" w:w="234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32–85%</w:t>
            </w:r>
          </w:p>
        </w:tc>
        <w:tc>
          <w:tcPr>
            <w:tcW w:type="dxa" w:w="234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N/A (usage proxy)</w:t>
            </w:r>
          </w:p>
        </w:tc>
        <w:tc>
          <w:tcPr>
            <w:tcW w:type="dxa" w:w="234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105–120%</w:t>
            </w:r>
          </w:p>
        </w:tc>
      </w:tr>
      <w:tr>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Quick Ratio</w:t>
            </w:r>
          </w:p>
        </w:tc>
        <w:tc>
          <w:tcPr>
            <w:tcW w:type="dxa" w:w="234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1.5–2.5x</w:t>
            </w:r>
          </w:p>
        </w:tc>
        <w:tc>
          <w:tcPr>
            <w:tcW w:type="dxa" w:w="234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N/A</w:t>
            </w:r>
          </w:p>
        </w:tc>
        <w:tc>
          <w:tcPr>
            <w:tcW w:type="dxa" w:w="234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4.0x+ target</w:t>
            </w:r>
          </w:p>
        </w:tc>
      </w:tr>
      <w:tr>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LTV Curve</w:t>
            </w:r>
          </w:p>
        </w:tc>
        <w:tc>
          <w:tcPr>
            <w:tcW w:type="dxa" w:w="234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Sub-linear</w:t>
            </w:r>
          </w:p>
        </w:tc>
        <w:tc>
          <w:tcPr>
            <w:tcW w:type="dxa" w:w="234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Linear to mild super-linear</w:t>
            </w:r>
          </w:p>
        </w:tc>
        <w:tc>
          <w:tcPr>
            <w:tcW w:type="dxa" w:w="234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Super-linear</w:t>
            </w:r>
          </w:p>
        </w:tc>
      </w:tr>
      <w:tr>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Growth Driver</w:t>
            </w:r>
          </w:p>
        </w:tc>
        <w:tc>
          <w:tcPr>
            <w:tcW w:type="dxa" w:w="234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New user acquisition</w:t>
            </w:r>
          </w:p>
        </w:tc>
        <w:tc>
          <w:tcPr>
            <w:tcW w:type="dxa" w:w="234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Deepening usage/dev</w:t>
            </w:r>
          </w:p>
        </w:tc>
        <w:tc>
          <w:tcPr>
            <w:tcW w:type="dxa" w:w="234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Seat expansion</w:t>
            </w:r>
          </w:p>
        </w:tc>
      </w:tr>
      <w:tr>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Primary Risk</w:t>
            </w:r>
          </w:p>
        </w:tc>
        <w:tc>
          <w:tcPr>
            <w:tcW w:type="dxa" w:w="234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Churn &gt; acquisition</w:t>
            </w:r>
          </w:p>
        </w:tc>
        <w:tc>
          <w:tcPr>
            <w:tcW w:type="dxa" w:w="234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Binary tool-switch</w:t>
            </w:r>
          </w:p>
        </w:tc>
        <w:tc>
          <w:tcPr>
            <w:tcW w:type="dxa" w:w="2342"/>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Account concentration</w:t>
            </w:r>
          </w:p>
        </w:tc>
      </w:tr>
    </w:tbl>
    <w:p>
      <w:pPr>
        <w:spacing w:after="200" w:before="200"/>
      </w:pPr>
    </w:p>
    <w:p>
      <w:pPr>
        <w:pStyle w:val="Heading1"/>
      </w:pPr>
      <w:r>
        <w:rPr>
          <w:b/>
          <w:bCs/>
        </w:rPr>
        <w:t xml:space="preserve">Sources</w:t>
      </w:r>
    </w:p>
    <w:p>
      <w:pPr>
        <w:pStyle w:val="ListParagraph"/>
        <w:numPr>
          <w:ilvl w:val="0"/>
          <w:numId w:val="2"/>
        </w:numPr>
        <w:spacing w:after="60"/>
      </w:pPr>
      <w:r>
        <w:rPr>
          <w:rFonts w:ascii="Arial" w:cs="Arial" w:eastAsia="Arial" w:hAnsi="Arial"/>
          <w:sz w:val="22"/>
          <w:szCs w:val="22"/>
        </w:rPr>
        <w:t xml:space="preserve">Tribe Capital — “A Quantitative Approach to Product-Market Fit” (tribecap.co)</w:t>
      </w:r>
    </w:p>
    <w:p>
      <w:pPr>
        <w:pStyle w:val="ListParagraph"/>
        <w:numPr>
          <w:ilvl w:val="0"/>
          <w:numId w:val="2"/>
        </w:numPr>
        <w:spacing w:after="60"/>
      </w:pPr>
      <w:r>
        <w:rPr>
          <w:rFonts w:ascii="Arial" w:cs="Arial" w:eastAsia="Arial" w:hAnsi="Arial"/>
          <w:sz w:val="22"/>
          <w:szCs w:val="22"/>
        </w:rPr>
        <w:t xml:space="preserve">Jonathan Hsu / Social Capital — Growth Accounting &amp; LTV SQL (GitHub Gist)</w:t>
      </w:r>
    </w:p>
    <w:p>
      <w:pPr>
        <w:pStyle w:val="ListParagraph"/>
        <w:numPr>
          <w:ilvl w:val="0"/>
          <w:numId w:val="2"/>
        </w:numPr>
        <w:spacing w:after="60"/>
      </w:pPr>
      <w:r>
        <w:rPr>
          <w:rFonts w:ascii="Arial" w:cs="Arial" w:eastAsia="Arial" w:hAnsi="Arial"/>
          <w:sz w:val="22"/>
          <w:szCs w:val="22"/>
        </w:rPr>
        <w:t xml:space="preserve">a16z — “Retention Is All You Need” and Growth Metrics Guide (a16z.com)</w:t>
      </w:r>
    </w:p>
    <w:p>
      <w:pPr>
        <w:pStyle w:val="ListParagraph"/>
        <w:numPr>
          <w:ilvl w:val="0"/>
          <w:numId w:val="2"/>
        </w:numPr>
        <w:spacing w:after="60"/>
      </w:pPr>
      <w:r>
        <w:rPr>
          <w:rFonts w:ascii="Arial" w:cs="Arial" w:eastAsia="Arial" w:hAnsi="Arial"/>
          <w:sz w:val="22"/>
          <w:szCs w:val="22"/>
        </w:rPr>
        <w:t xml:space="preserve">ChartMogul — “The SaaS Retention Report: The AI Churn Wave” (2025)</w:t>
      </w:r>
    </w:p>
    <w:p>
      <w:pPr>
        <w:pStyle w:val="ListParagraph"/>
        <w:numPr>
          <w:ilvl w:val="0"/>
          <w:numId w:val="2"/>
        </w:numPr>
        <w:spacing w:after="60"/>
      </w:pPr>
      <w:r>
        <w:rPr>
          <w:rFonts w:ascii="Arial" w:cs="Arial" w:eastAsia="Arial" w:hAnsi="Arial"/>
          <w:sz w:val="22"/>
          <w:szCs w:val="22"/>
        </w:rPr>
        <w:t xml:space="preserve">Arcade.dev — “AI Platform Retention &amp; Monetization Analysis” (2025)</w:t>
      </w:r>
    </w:p>
    <w:p>
      <w:pPr>
        <w:pStyle w:val="ListParagraph"/>
        <w:numPr>
          <w:ilvl w:val="0"/>
          <w:numId w:val="2"/>
        </w:numPr>
        <w:spacing w:after="60"/>
      </w:pPr>
      <w:r>
        <w:rPr>
          <w:rFonts w:ascii="Arial" w:cs="Arial" w:eastAsia="Arial" w:hAnsi="Arial"/>
          <w:sz w:val="22"/>
          <w:szCs w:val="22"/>
        </w:rPr>
        <w:t xml:space="preserve">SaaS Capital — “2023 B2B SaaS Retention Benchmarks”</w:t>
      </w:r>
    </w:p>
    <w:p>
      <w:pPr>
        <w:pStyle w:val="ListParagraph"/>
        <w:numPr>
          <w:ilvl w:val="0"/>
          <w:numId w:val="2"/>
        </w:numPr>
        <w:spacing w:after="60"/>
      </w:pPr>
      <w:r>
        <w:rPr>
          <w:rFonts w:ascii="Arial" w:cs="Arial" w:eastAsia="Arial" w:hAnsi="Arial"/>
          <w:sz w:val="22"/>
          <w:szCs w:val="22"/>
        </w:rPr>
        <w:t xml:space="preserve">Tomasz Tunguz — “What is Quick Ratio Hiding?”</w:t>
      </w:r>
    </w:p>
    <w:p>
      <w:pPr>
        <w:pStyle w:val="ListParagraph"/>
        <w:numPr>
          <w:ilvl w:val="0"/>
          <w:numId w:val="2"/>
        </w:numPr>
        <w:spacing w:after="60"/>
      </w:pPr>
      <w:r>
        <w:rPr>
          <w:rFonts w:ascii="Arial" w:cs="Arial" w:eastAsia="Arial" w:hAnsi="Arial"/>
          <w:sz w:val="22"/>
          <w:szCs w:val="22"/>
        </w:rPr>
        <w:t xml:space="preserve">OpenView Partners — 2023 SaaS Benchmarks Report</w:t>
      </w:r>
    </w:p>
    <w:p>
      <w:pPr>
        <w:pStyle w:val="ListParagraph"/>
        <w:numPr>
          <w:ilvl w:val="0"/>
          <w:numId w:val="2"/>
        </w:numPr>
        <w:spacing w:after="60"/>
      </w:pPr>
      <w:r>
        <w:rPr>
          <w:rFonts w:ascii="Arial" w:cs="Arial" w:eastAsia="Arial" w:hAnsi="Arial"/>
          <w:sz w:val="22"/>
          <w:szCs w:val="22"/>
        </w:rPr>
        <w:t xml:space="preserve">Twilio public filings / SaaStr analysis</w:t>
      </w:r>
    </w:p>
    <w:p>
      <w:pPr>
        <w:spacing w:after="200" w:before="200"/>
      </w:pPr>
    </w:p>
    <w:p>
      <w:pPr>
        <w:spacing w:after="120"/>
        <w:rPr>
          <w:i/>
          <w:iCs/>
          <w:color w:val="64748B"/>
        </w:rPr>
      </w:pPr>
      <w:r>
        <w:rPr>
          <w:rFonts w:ascii="Arial" w:cs="Arial" w:eastAsia="Arial" w:hAnsi="Arial"/>
          <w:i/>
          <w:iCs/>
          <w:color w:val="64748B"/>
          <w:sz w:val="22"/>
          <w:szCs w:val="22"/>
        </w:rPr>
        <w:t xml:space="preserve">This document accompanies the interactive dashboard. All data is synthetic. The analytical framework and benchmarks are real.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Anthropic EMEA Startup Partnerships — Analytical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354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2026-03-25T23:46:14.357Z</dcterms:created>
  <dcterms:modified xsi:type="dcterms:W3CDTF">2026-03-25T23:46:14.364Z</dcterms:modified>
</cp:coreProperties>
</file>

<file path=docProps/custom.xml><?xml version="1.0" encoding="utf-8"?>
<Properties xmlns="http://schemas.openxmlformats.org/officeDocument/2006/custom-properties" xmlns:vt="http://schemas.openxmlformats.org/officeDocument/2006/docPropsVTypes"/>
</file>