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ftbysl7fymi" w:id="0"/>
      <w:bookmarkEnd w:id="0"/>
      <w:r w:rsidDel="00000000" w:rsidR="00000000" w:rsidRPr="00000000">
        <w:rPr>
          <w:b w:val="1"/>
          <w:bCs w:val="1"/>
          <w:sz w:val="46"/>
          <w:szCs w:val="46"/>
          <w:rtl w:val="0"/>
        </w:rPr>
        <w:t xml:space="preserve">Business Glossary – Entity Resolution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gm2s4kzct5n" w:id="1"/>
      <w:bookmarkEnd w:id="1"/>
      <w:r w:rsidDel="00000000" w:rsidR="00000000" w:rsidRPr="00000000">
        <w:rPr>
          <w:b w:val="1"/>
          <w:bCs w:val="1"/>
          <w:sz w:val="34"/>
          <w:szCs w:val="34"/>
          <w:rtl w:val="0"/>
        </w:rPr>
        <w:t xml:space="preserve">Conceptual framing</w:t>
      </w:r>
    </w:p>
    <w:p w:rsidR="00000000" w:rsidDel="00000000" w:rsidP="00000000" w:rsidRDefault="00000000" w:rsidRPr="00000000" w14:paraId="00000003">
      <w:pPr>
        <w:spacing w:after="240" w:before="240" w:lineRule="auto"/>
        <w:rPr/>
      </w:pPr>
      <w:r w:rsidDel="00000000" w:rsidR="00000000" w:rsidRPr="00000000">
        <w:rPr>
          <w:rtl w:val="0"/>
        </w:rPr>
        <w:t xml:space="preserve">This system distinguishes carefully between </w:t>
      </w:r>
      <w:r w:rsidDel="00000000" w:rsidR="00000000" w:rsidRPr="00000000">
        <w:rPr>
          <w:b w:val="1"/>
          <w:bCs w:val="1"/>
          <w:rtl w:val="0"/>
        </w:rPr>
        <w:t xml:space="preserve">real-world entities</w:t>
      </w:r>
      <w:r w:rsidDel="00000000" w:rsidR="00000000" w:rsidRPr="00000000">
        <w:rPr>
          <w:rtl w:val="0"/>
        </w:rPr>
        <w:t xml:space="preserve"> (the referents that exist independently of the system), </w:t>
      </w:r>
      <w:r w:rsidDel="00000000" w:rsidR="00000000" w:rsidRPr="00000000">
        <w:rPr>
          <w:b w:val="1"/>
          <w:bCs w:val="1"/>
          <w:rtl w:val="0"/>
        </w:rPr>
        <w:t xml:space="preserve">representations</w:t>
      </w:r>
      <w:r w:rsidDel="00000000" w:rsidR="00000000" w:rsidRPr="00000000">
        <w:rPr>
          <w:rtl w:val="0"/>
        </w:rPr>
        <w:t xml:space="preserve"> (information artefacts that describe or refer to those entities), and </w:t>
      </w:r>
      <w:r w:rsidDel="00000000" w:rsidR="00000000" w:rsidRPr="00000000">
        <w:rPr>
          <w:b w:val="1"/>
          <w:bCs w:val="1"/>
          <w:rtl w:val="0"/>
        </w:rPr>
        <w:t xml:space="preserve">identifiers</w:t>
      </w:r>
      <w:r w:rsidDel="00000000" w:rsidR="00000000" w:rsidRPr="00000000">
        <w:rPr>
          <w:rtl w:val="0"/>
        </w:rPr>
        <w:t xml:space="preserve"> (symbols or signs used to reference system-managed artefacts). The system does not store or manipulate real-world entities directly; instead, it manages identity through </w:t>
      </w:r>
      <w:r w:rsidDel="00000000" w:rsidR="00000000" w:rsidRPr="00000000">
        <w:rPr>
          <w:b w:val="1"/>
          <w:bCs w:val="1"/>
          <w:rtl w:val="0"/>
        </w:rPr>
        <w:t xml:space="preserve">clusters of entity mentions</w:t>
      </w:r>
      <w:r w:rsidDel="00000000" w:rsidR="00000000" w:rsidRPr="00000000">
        <w:rPr>
          <w:rtl w:val="0"/>
        </w:rPr>
        <w:t xml:space="preserve">, which embody the system’s current </w:t>
      </w:r>
      <w:r w:rsidDel="00000000" w:rsidR="00000000" w:rsidRPr="00000000">
        <w:rPr>
          <w:b w:val="1"/>
          <w:bCs w:val="1"/>
          <w:rtl w:val="0"/>
        </w:rPr>
        <w:t xml:space="preserve">conceptualisation</w:t>
      </w:r>
      <w:r w:rsidDel="00000000" w:rsidR="00000000" w:rsidRPr="00000000">
        <w:rPr>
          <w:rtl w:val="0"/>
        </w:rPr>
        <w:t xml:space="preserve"> of co-reference under available evidence.</w:t>
      </w:r>
    </w:p>
    <w:p w:rsidR="00000000" w:rsidDel="00000000" w:rsidP="00000000" w:rsidRDefault="00000000" w:rsidRPr="00000000" w14:paraId="00000004">
      <w:pPr>
        <w:spacing w:after="240" w:before="240" w:lineRule="auto"/>
        <w:rPr/>
      </w:pPr>
      <w:r w:rsidDel="00000000" w:rsidR="00000000" w:rsidRPr="00000000">
        <w:rPr>
          <w:rtl w:val="0"/>
        </w:rPr>
        <w:t xml:space="preserve">A cluster scaffolds a </w:t>
      </w:r>
      <w:r w:rsidDel="00000000" w:rsidR="00000000" w:rsidRPr="00000000">
        <w:rPr>
          <w:b w:val="1"/>
          <w:bCs w:val="1"/>
          <w:rtl w:val="0"/>
        </w:rPr>
        <w:t xml:space="preserve">canonical entity</w:t>
      </w:r>
      <w:r w:rsidDel="00000000" w:rsidR="00000000" w:rsidRPr="00000000">
        <w:rPr>
          <w:rtl w:val="0"/>
        </w:rPr>
        <w:t xml:space="preserve"> (a logical identity construct), and both are identified by a </w:t>
      </w:r>
      <w:r w:rsidDel="00000000" w:rsidR="00000000" w:rsidRPr="00000000">
        <w:rPr>
          <w:b w:val="1"/>
          <w:bCs w:val="1"/>
          <w:rtl w:val="0"/>
        </w:rPr>
        <w:t xml:space="preserve">canonical identifier (URI)</w:t>
      </w:r>
      <w:r w:rsidDel="00000000" w:rsidR="00000000" w:rsidRPr="00000000">
        <w:rPr>
          <w:rtl w:val="0"/>
        </w:rPr>
        <w:t xml:space="preserve">. This canonical identifier functions as a </w:t>
      </w:r>
      <w:r w:rsidDel="00000000" w:rsidR="00000000" w:rsidRPr="00000000">
        <w:rPr>
          <w:b w:val="1"/>
          <w:bCs w:val="1"/>
          <w:rtl w:val="0"/>
        </w:rPr>
        <w:t xml:space="preserve">proxy reference</w:t>
      </w:r>
      <w:r w:rsidDel="00000000" w:rsidR="00000000" w:rsidRPr="00000000">
        <w:rPr>
          <w:rtl w:val="0"/>
        </w:rPr>
        <w:t xml:space="preserve"> to a real-world entity via the cluster it identifies. Canonical entity representations, when present, are optional descriptive artefacts that may be derived, curated, replaced, or omitted without changing identity.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j3t3rat0yba" w:id="2"/>
      <w:bookmarkEnd w:id="2"/>
      <w:r w:rsidDel="00000000" w:rsidR="00000000" w:rsidRPr="00000000">
        <w:rPr>
          <w:b w:val="1"/>
          <w:bCs w:val="1"/>
          <w:sz w:val="34"/>
          <w:szCs w:val="34"/>
          <w:rtl w:val="0"/>
        </w:rPr>
        <w:t xml:space="preserve">I. Conceptual &amp; Information-Oriented Glossary</w:t>
      </w:r>
    </w:p>
    <w:p w:rsidR="00000000" w:rsidDel="00000000" w:rsidP="00000000" w:rsidRDefault="00000000" w:rsidRPr="00000000" w14:paraId="00000006">
      <w:pPr>
        <w:spacing w:after="240" w:before="240" w:lineRule="auto"/>
        <w:rPr/>
      </w:pPr>
      <w:r w:rsidDel="00000000" w:rsidR="00000000" w:rsidRPr="00000000">
        <w:rPr>
          <w:rtl w:val="0"/>
        </w:rPr>
        <w:t xml:space="preserve">This section defines domain concepts, identity constructs, information artefacts, and data-level elements. These terms describe </w:t>
      </w:r>
      <w:r w:rsidDel="00000000" w:rsidR="00000000" w:rsidRPr="00000000">
        <w:rPr>
          <w:b w:val="1"/>
          <w:bCs w:val="1"/>
          <w:rtl w:val="0"/>
        </w:rPr>
        <w:t xml:space="preserve">what exists conceptually</w:t>
      </w:r>
      <w:r w:rsidDel="00000000" w:rsidR="00000000" w:rsidRPr="00000000">
        <w:rPr>
          <w:rtl w:val="0"/>
        </w:rPr>
        <w:t xml:space="preserve"> and </w:t>
      </w:r>
      <w:r w:rsidDel="00000000" w:rsidR="00000000" w:rsidRPr="00000000">
        <w:rPr>
          <w:b w:val="1"/>
          <w:bCs w:val="1"/>
          <w:rtl w:val="0"/>
        </w:rPr>
        <w:t xml:space="preserve">what the system manages as information</w:t>
      </w:r>
      <w:r w:rsidDel="00000000" w:rsidR="00000000" w:rsidRPr="00000000">
        <w:rPr>
          <w:rtl w:val="0"/>
        </w:rPr>
        <w:t xml:space="preserve">, independent of concrete system components or runtime behaviour.</w:t>
      </w:r>
    </w:p>
    <w:tbl>
      <w:tblPr>
        <w:tblStyle w:val="Table1"/>
        <w:tblW w:w="12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900"/>
        <w:gridCol w:w="4530"/>
        <w:gridCol w:w="2220"/>
        <w:tblGridChange w:id="0">
          <w:tblGrid>
            <w:gridCol w:w="1860"/>
            <w:gridCol w:w="3900"/>
            <w:gridCol w:w="4530"/>
            <w:gridCol w:w="222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Preferred 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Scope and use context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Alternative terms</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Real-World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 concrete or abstract object that exists independently of the system and is the intended target of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 real-world entit</w:t>
            </w:r>
            <w:r w:rsidDel="00000000" w:rsidR="00000000" w:rsidRPr="00000000">
              <w:rPr>
                <w:rtl w:val="0"/>
              </w:rPr>
              <w:t xml:space="preserve">y is a referent</w:t>
            </w:r>
            <w:r w:rsidDel="00000000" w:rsidR="00000000" w:rsidRPr="00000000">
              <w:rPr>
                <w:rtl w:val="0"/>
              </w:rPr>
              <w:t xml:space="preserve">. It is </w:t>
            </w:r>
            <w:r w:rsidDel="00000000" w:rsidR="00000000" w:rsidRPr="00000000">
              <w:rPr>
                <w:i w:val="1"/>
                <w:iCs w:val="1"/>
                <w:rtl w:val="0"/>
              </w:rPr>
              <w:t xml:space="preserve">not</w:t>
            </w:r>
            <w:r w:rsidDel="00000000" w:rsidR="00000000" w:rsidRPr="00000000">
              <w:rPr>
                <w:rtl w:val="0"/>
              </w:rPr>
              <w:t xml:space="preserve"> stored, versioned, or directly identified by the system. All system-managed artefacts (mentions, clusters, identifiers) only ever refer to real-world entities indirectly and provisionally.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referent, real-world object, real entity, domain entity, business object (conceptual)</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Entity Mention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 record-level information artefact submitted to the system by a source system/actor that describes or refers to a real-world entity.</w:t>
            </w:r>
          </w:p>
          <w:p w:rsidR="00000000" w:rsidDel="00000000" w:rsidP="00000000" w:rsidRDefault="00000000" w:rsidRPr="00000000" w14:paraId="000000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An entity mention includes an Entity Mention Representation (payload + format) and request context (e.g. originator, timestamps, declared entity type).</w:t>
            </w:r>
          </w:p>
          <w:p w:rsidR="00000000" w:rsidDel="00000000" w:rsidP="00000000" w:rsidRDefault="00000000" w:rsidRPr="00000000" w14:paraId="00000013">
            <w:pPr>
              <w:rPr/>
            </w:pPr>
            <w:r w:rsidDel="00000000" w:rsidR="00000000" w:rsidRPr="00000000">
              <w:rPr>
                <w:rtl w:val="0"/>
              </w:rPr>
              <w:t xml:space="preserve">They are </w:t>
            </w:r>
            <w:r w:rsidDel="00000000" w:rsidR="00000000" w:rsidRPr="00000000">
              <w:rPr>
                <w:rtl w:val="0"/>
              </w:rPr>
              <w:t xml:space="preserve">representations</w:t>
            </w:r>
            <w:r w:rsidDel="00000000" w:rsidR="00000000" w:rsidRPr="00000000">
              <w:rPr>
                <w:rtl w:val="0"/>
              </w:rPr>
              <w:t xml:space="preserve">, not identities. They are the atomic inputs to entity resolution and may be duplicated, inconsistent, incomplete, or wrong. They can be reprocessed multiple times (e.g. during rebuilds).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entity record, mention, input entity, source record, submitted entity</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Mention Identifier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 system-scoped identifier assigned to an entity mention as a stored information artefact.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Identifies an information artefact (i.e the entity mention), not a real-world entity. It must remain stable for traceability but carries no identity semantics beyond the mention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record identifier, mention URI</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Entity Mention 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The descriptive payload of an entity mention, expressed in a specific serialised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Supplied externally as part of a mention submission. Used for transport, parsing, validation, and extraction. It is not an identity construct. It includes both the payload and the indication of its format (e.g. JSON, XML, RDF).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mention payload, input payload, source payload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Entity 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An abstract descriptive artefact that conveys information about an entity.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This term is abstract and is realised concretely only as an Entity Mention Representation or a Canonical Entity Representation. It must not be used ambiguously.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representation is descriptive content only. It is used for transport, parsing, validation, and storage. It is </w:t>
            </w:r>
            <w:r w:rsidDel="00000000" w:rsidR="00000000" w:rsidRPr="00000000">
              <w:rPr>
                <w:i w:val="1"/>
                <w:iCs w:val="1"/>
                <w:rtl w:val="0"/>
              </w:rPr>
              <w:t xml:space="preserve">not</w:t>
            </w:r>
            <w:r w:rsidDel="00000000" w:rsidR="00000000" w:rsidRPr="00000000">
              <w:rPr>
                <w:rtl w:val="0"/>
              </w:rPr>
              <w:t xml:space="preserve"> an identity construct.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description, serialisation, entity payload, descriptive payload, entity description</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An identity-bearing construct identified by a canonical identifier and defined by the set of mention assignments it contains, that the  system asserts, under current evidence, to co-refer to the same real-world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Primary identity-bearing construct. A cluster embodies the system’s current conceptualisation of co-reference. It consists of (a) a canonical URI and (b) a list of assignments of mentions to this cluster, each with a confidence score.</w:t>
            </w:r>
          </w:p>
          <w:p w:rsidR="00000000" w:rsidDel="00000000" w:rsidP="00000000" w:rsidRDefault="00000000" w:rsidRPr="00000000" w14:paraId="00000028">
            <w:pPr>
              <w:rPr/>
            </w:pPr>
            <w:r w:rsidDel="00000000" w:rsidR="00000000" w:rsidRPr="00000000">
              <w:rPr>
                <w:rtl w:val="0"/>
              </w:rPr>
              <w:t xml:space="preserve">It is an evidence-based hypothesis, </w:t>
            </w:r>
            <w:r w:rsidDel="00000000" w:rsidR="00000000" w:rsidRPr="00000000">
              <w:rPr>
                <w:i w:val="1"/>
                <w:iCs w:val="1"/>
                <w:rtl w:val="0"/>
              </w:rPr>
              <w:t xml:space="preserve">not</w:t>
            </w:r>
            <w:r w:rsidDel="00000000" w:rsidR="00000000" w:rsidRPr="00000000">
              <w:rPr>
                <w:rtl w:val="0"/>
              </w:rPr>
              <w:t xml:space="preserve"> a fact, and may change over time through merges, splits, or rebuilds.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equivalence class, entity group, identity cluster, equivalence group, co-reference group</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Canonical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 logical identity construct scaffolded by a cluster and used to treat that cluster as a single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 canonical entity is not a record, not a representation, and not a real-world entity. It exists only as the identity defined by a cluster and has no descriptive content unless a canonical representation is explicitly associated.</w:t>
            </w:r>
          </w:p>
          <w:p w:rsidR="00000000" w:rsidDel="00000000" w:rsidP="00000000" w:rsidRDefault="00000000" w:rsidRPr="00000000" w14:paraId="0000002D">
            <w:pPr>
              <w:rPr/>
            </w:pPr>
            <w:r w:rsidDel="00000000" w:rsidR="00000000" w:rsidRPr="00000000">
              <w:rPr>
                <w:rtl w:val="0"/>
              </w:rPr>
              <w:t xml:space="preserve">It provides a stable identity anchor within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resolved identity, identity construct, logical identity</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Canonical Identifier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 stable, universal, system-generated identifier assigned to a cluster and its canonical entity.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The canonical identifier functions as the system’s sole stable and universal proxy/indirect reference to a real-world entity. </w:t>
            </w:r>
          </w:p>
          <w:p w:rsidR="00000000" w:rsidDel="00000000" w:rsidP="00000000" w:rsidRDefault="00000000" w:rsidRPr="00000000" w14:paraId="00000032">
            <w:pPr>
              <w:rPr/>
            </w:pPr>
            <w:r w:rsidDel="00000000" w:rsidR="00000000" w:rsidRPr="00000000">
              <w:rPr>
                <w:rtl w:val="0"/>
              </w:rPr>
              <w:t xml:space="preserve">Stability of the canonical identifier enables interoperability, traceability, and downstream integration.</w:t>
            </w:r>
          </w:p>
          <w:p w:rsidR="00000000" w:rsidDel="00000000" w:rsidP="00000000" w:rsidRDefault="00000000" w:rsidRPr="00000000" w14:paraId="00000033">
            <w:pPr>
              <w:rPr/>
            </w:pPr>
            <w:r w:rsidDel="00000000" w:rsidR="00000000" w:rsidRPr="00000000">
              <w:rPr>
                <w:rtl w:val="0"/>
              </w:rPr>
              <w:t xml:space="preserve">It is </w:t>
            </w:r>
            <w:r w:rsidDel="00000000" w:rsidR="00000000" w:rsidRPr="00000000">
              <w:rPr>
                <w:i w:val="1"/>
                <w:iCs w:val="1"/>
                <w:rtl w:val="0"/>
              </w:rPr>
              <w:t xml:space="preserve">not</w:t>
            </w:r>
            <w:r w:rsidDel="00000000" w:rsidR="00000000" w:rsidRPr="00000000">
              <w:rPr>
                <w:rtl w:val="0"/>
              </w:rPr>
              <w:t xml:space="preserve"> a definitive, or immutable identifier, and its referential role is mediated entirely by the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canonical URI, cluster URI, stable ID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Canonical Entity 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 derived or curated descriptive artefact associated with a canonical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Always produced or maintained within the system. It is optional, non-authoritative, and must not be confused with a real-world entity or source record.</w:t>
            </w:r>
          </w:p>
          <w:p w:rsidR="00000000" w:rsidDel="00000000" w:rsidP="00000000" w:rsidRDefault="00000000" w:rsidRPr="00000000" w14:paraId="00000038">
            <w:pPr>
              <w:rPr/>
            </w:pPr>
            <w:r w:rsidDel="00000000" w:rsidR="00000000" w:rsidRPr="00000000">
              <w:rPr>
                <w:rtl w:val="0"/>
              </w:rPr>
              <w:t xml:space="preserve">It may be derived from mentions, curated by humans, or sourced authoritatively. It may change or disappear without affecting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consolidated description, canonical description, derived entity description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An asserted correspondence between an entity mention and a cluster or canonical entity, materialised as a resolution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Alignments represent resolution decisions produced by the system and persisted for audit and review. They are assertions under evidence, may carry polarity and confidence, and may be revised through curation or reclustering. It does </w:t>
            </w:r>
            <w:r w:rsidDel="00000000" w:rsidR="00000000" w:rsidRPr="00000000">
              <w:rPr>
                <w:i w:val="1"/>
                <w:iCs w:val="1"/>
                <w:rtl w:val="0"/>
              </w:rPr>
              <w:t xml:space="preserve">not</w:t>
            </w:r>
            <w:r w:rsidDel="00000000" w:rsidR="00000000" w:rsidRPr="00000000">
              <w:rPr>
                <w:rtl w:val="0"/>
              </w:rPr>
              <w:t xml:space="preserve"> assert or expose relationships between mentions. Alignment is neither a fact about the real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match, linkage, correspondence, resolution decision, identity assertion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Alignment 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An explicit indication of equivalence or non-equivalence for an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Used to express whether an asserted correspondence is accepted or rejected. Enables explicit negative decisions, not only positive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match decision, equivalence decision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Confidence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 numeric indicator expressing the system’s confidence in the assignment of an entity mention to a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Confidence is attached to </w:t>
            </w:r>
            <w:r w:rsidDel="00000000" w:rsidR="00000000" w:rsidRPr="00000000">
              <w:rPr>
                <w:rtl w:val="0"/>
              </w:rPr>
              <w:t xml:space="preserve">assignments</w:t>
            </w:r>
            <w:r w:rsidDel="00000000" w:rsidR="00000000" w:rsidRPr="00000000">
              <w:rPr>
                <w:rFonts w:ascii="Arial Unicode MS" w:cs="Arial Unicode MS" w:eastAsia="Arial Unicode MS" w:hAnsi="Arial Unicode MS"/>
                <w:rtl w:val="0"/>
              </w:rPr>
              <w:t xml:space="preserve"> (mention → cluster). It is</w:t>
            </w:r>
            <w:r w:rsidDel="00000000" w:rsidR="00000000" w:rsidRPr="00000000">
              <w:rPr>
                <w:rtl w:val="0"/>
              </w:rPr>
              <w:t xml:space="preserve"> an engine-produced computational signal used for ranking, p</w:t>
            </w:r>
            <w:r w:rsidDel="00000000" w:rsidR="00000000" w:rsidRPr="00000000">
              <w:rPr>
                <w:rtl w:val="0"/>
              </w:rPr>
              <w:t xml:space="preserve">rioritisation, and internal decision-making. It may be derived from internal heuristics such as pairwise similarities, but these are not exposed or asserted. The score is </w:t>
            </w:r>
            <w:r w:rsidDel="00000000" w:rsidR="00000000" w:rsidRPr="00000000">
              <w:rPr>
                <w:i w:val="1"/>
                <w:iCs w:val="1"/>
                <w:rtl w:val="0"/>
              </w:rPr>
              <w:t xml:space="preserve">not</w:t>
            </w:r>
            <w:r w:rsidDel="00000000" w:rsidR="00000000" w:rsidRPr="00000000">
              <w:rPr>
                <w:rtl w:val="0"/>
              </w:rPr>
              <w:t xml:space="preserve"> a probability, not a truth value, and not directly interpretable without context. </w:t>
            </w:r>
          </w:p>
          <w:p w:rsidR="00000000" w:rsidDel="00000000" w:rsidP="00000000" w:rsidRDefault="00000000" w:rsidRPr="00000000" w14:paraId="00000045">
            <w:pPr>
              <w:rPr/>
            </w:pPr>
            <w:r w:rsidDel="00000000" w:rsidR="00000000" w:rsidRPr="00000000">
              <w:rPr>
                <w:rtl w:val="0"/>
              </w:rPr>
              <w:t xml:space="preserve">Note, pairwise mention similarity is considered an internal ERE mechanism and is not modelled or exposed to 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matching score, assignment confidence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Confidence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 configurable minimum confidence score required to accept an automatic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Governs workflow behaviour (auto-accept vs review) and precision/recall trade-offs.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matching threshold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Entity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An ontological category that classifies real-world entities according to their nature or role within a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They define </w:t>
            </w:r>
            <w:r w:rsidDel="00000000" w:rsidR="00000000" w:rsidRPr="00000000">
              <w:rPr>
                <w:i w:val="1"/>
                <w:iCs w:val="1"/>
                <w:rtl w:val="0"/>
              </w:rPr>
              <w:t xml:space="preserve">what kind of thing</w:t>
            </w:r>
            <w:r w:rsidDel="00000000" w:rsidR="00000000" w:rsidRPr="00000000">
              <w:rPr>
                <w:rtl w:val="0"/>
              </w:rPr>
              <w:t xml:space="preserve"> an entity is (e.g. Person, Organisation) and may constrain applicable properties, resolution rules, or matching strategies. Entity types are not tags or identifiers, they do </w:t>
            </w:r>
            <w:r w:rsidDel="00000000" w:rsidR="00000000" w:rsidRPr="00000000">
              <w:rPr>
                <w:i w:val="1"/>
                <w:iCs w:val="1"/>
                <w:rtl w:val="0"/>
              </w:rPr>
              <w:t xml:space="preserve">not</w:t>
            </w:r>
            <w:r w:rsidDel="00000000" w:rsidR="00000000" w:rsidRPr="00000000">
              <w:rPr>
                <w:rtl w:val="0"/>
              </w:rPr>
              <w:t xml:space="preserve"> identify entities, and do </w:t>
            </w:r>
            <w:r w:rsidDel="00000000" w:rsidR="00000000" w:rsidRPr="00000000">
              <w:rPr>
                <w:i w:val="1"/>
                <w:iCs w:val="1"/>
                <w:rtl w:val="0"/>
              </w:rPr>
              <w:t xml:space="preserve">not</w:t>
            </w:r>
            <w:r w:rsidDel="00000000" w:rsidR="00000000" w:rsidRPr="00000000">
              <w:rPr>
                <w:rtl w:val="0"/>
              </w:rPr>
              <w:t xml:space="preserve"> imply the existence of a canonical entity or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class, entity category, entity class, reference type, canonical entity type (CET)</w:t>
            </w:r>
          </w:p>
        </w:tc>
      </w:tr>
    </w:tbl>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i0ohzxsswh3p" w:id="3"/>
      <w:bookmarkEnd w:id="3"/>
      <w:r w:rsidDel="00000000" w:rsidR="00000000" w:rsidRPr="00000000">
        <w:rPr>
          <w:b w:val="1"/>
          <w:bCs w:val="1"/>
          <w:sz w:val="34"/>
          <w:szCs w:val="34"/>
          <w:rtl w:val="0"/>
        </w:rPr>
        <w:t xml:space="preserve">II. System, Actors &amp; Behaviour-Oriented Glossary</w:t>
      </w:r>
    </w:p>
    <w:p w:rsidR="00000000" w:rsidDel="00000000" w:rsidP="00000000" w:rsidRDefault="00000000" w:rsidRPr="00000000" w14:paraId="00000050">
      <w:pPr>
        <w:spacing w:after="240" w:before="240" w:lineRule="auto"/>
        <w:rPr/>
      </w:pPr>
      <w:r w:rsidDel="00000000" w:rsidR="00000000" w:rsidRPr="00000000">
        <w:rPr>
          <w:rtl w:val="0"/>
        </w:rPr>
        <w:t xml:space="preserve">This section defines system components, actors, operations, and interaction patterns. These terms describe </w:t>
      </w:r>
      <w:r w:rsidDel="00000000" w:rsidR="00000000" w:rsidRPr="00000000">
        <w:rPr>
          <w:b w:val="1"/>
          <w:bCs w:val="1"/>
          <w:rtl w:val="0"/>
        </w:rPr>
        <w:t xml:space="preserve">how the system behaves</w:t>
      </w:r>
      <w:r w:rsidDel="00000000" w:rsidR="00000000" w:rsidRPr="00000000">
        <w:rPr>
          <w:rtl w:val="0"/>
        </w:rPr>
        <w:t xml:space="preserve">, </w:t>
      </w:r>
      <w:r w:rsidDel="00000000" w:rsidR="00000000" w:rsidRPr="00000000">
        <w:rPr>
          <w:b w:val="1"/>
          <w:bCs w:val="1"/>
          <w:rtl w:val="0"/>
        </w:rPr>
        <w:t xml:space="preserve">who performs actions</w:t>
      </w:r>
      <w:r w:rsidDel="00000000" w:rsidR="00000000" w:rsidRPr="00000000">
        <w:rPr>
          <w:rtl w:val="0"/>
        </w:rPr>
        <w:t xml:space="preserve">, and </w:t>
      </w:r>
      <w:r w:rsidDel="00000000" w:rsidR="00000000" w:rsidRPr="00000000">
        <w:rPr>
          <w:b w:val="1"/>
          <w:bCs w:val="1"/>
          <w:rtl w:val="0"/>
        </w:rPr>
        <w:t xml:space="preserve">where responsibilities lie</w:t>
      </w:r>
      <w:r w:rsidDel="00000000" w:rsidR="00000000" w:rsidRPr="00000000">
        <w:rPr>
          <w:rtl w:val="0"/>
        </w:rPr>
        <w:t xml:space="preserve">.</w:t>
      </w:r>
    </w:p>
    <w:tbl>
      <w:tblPr>
        <w:tblStyle w:val="Table2"/>
        <w:tblW w:w="12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570"/>
        <w:gridCol w:w="3870"/>
        <w:gridCol w:w="2880"/>
        <w:tblGridChange w:id="0">
          <w:tblGrid>
            <w:gridCol w:w="2355"/>
            <w:gridCol w:w="3570"/>
            <w:gridCol w:w="3870"/>
            <w:gridCol w:w="288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Preferred 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Scope and use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Alternative terms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Originator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An external system or process that submits entity mentions or resolution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The originator provides data but does not control resolution outcomes. Used for provenance and 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source system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Entity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The process of assigning entity mentions to clusters that represent managed identities under available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Entity resolution operationally creates, updates, or revises cluster membership. It manages system identities and does not assert facts about real-world entities.</w:t>
            </w:r>
          </w:p>
          <w:p w:rsidR="00000000" w:rsidDel="00000000" w:rsidP="00000000" w:rsidRDefault="00000000" w:rsidRPr="00000000" w14:paraId="0000005C">
            <w:pPr>
              <w:rPr/>
            </w:pPr>
            <w:r w:rsidDel="00000000" w:rsidR="00000000" w:rsidRPr="00000000">
              <w:rPr>
                <w:rtl w:val="0"/>
              </w:rPr>
              <w:t xml:space="preserve">An umbrella capability implemented jointly by ERS and ERE.</w:t>
            </w:r>
          </w:p>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identity resolution</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Entity Resolution Engine (ERE)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 processing system component responsible for executing resolution logic and maintaining operational cluster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Engines may be independently developed and replaced, provided they conform to the ER Engine Contract. They are pluggable to the ERsys. Internal data (of clusters, mentions, entities and their representations) is operational and non-authoritative.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ER engine, matching engine, resolution engine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Entity Resolution Service (ERS)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The coordinating system component responsible for APIs, orchestration, persistence of authoritative records (resolution inputs as a system of records and canonical entity registry), and interaction with 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Acts as the authoritative system of record for entity mentions, resolution requests, and outcomes in a canonical entity registry. Does </w:t>
            </w:r>
            <w:r w:rsidDel="00000000" w:rsidR="00000000" w:rsidRPr="00000000">
              <w:rPr>
                <w:i w:val="1"/>
                <w:iCs w:val="1"/>
                <w:rtl w:val="0"/>
              </w:rPr>
              <w:t xml:space="preserve">not</w:t>
            </w:r>
            <w:r w:rsidDel="00000000" w:rsidR="00000000" w:rsidRPr="00000000">
              <w:rPr>
                <w:rtl w:val="0"/>
              </w:rPr>
              <w:t xml:space="preserve"> perform resolution logic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ER service, orchestration service, coordination service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Entity Resolution System (ERSys)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The complete information system responsible for resolving entity mentions into managed identities.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Encompasses the ERS, one or more EREs, link curation capabilities, persistence layers, and supporting infrastructure. It defines system boundaries for execution, governance, and accountability. It is </w:t>
            </w:r>
            <w:r w:rsidDel="00000000" w:rsidR="00000000" w:rsidRPr="00000000">
              <w:rPr>
                <w:i w:val="1"/>
                <w:iCs w:val="1"/>
                <w:rtl w:val="0"/>
              </w:rPr>
              <w:t xml:space="preserve">not</w:t>
            </w:r>
            <w:r w:rsidDel="00000000" w:rsidR="00000000" w:rsidRPr="00000000">
              <w:rPr>
                <w:rtl w:val="0"/>
              </w:rPr>
              <w:t xml:space="preserve"> a single component or engine.</w:t>
            </w:r>
          </w:p>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ER system, entity resolution platform, ER platform, ER solution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ER Engine Contract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 formal specification defining required interfaces, data structures, and behavioural guarantees for 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Enables independent development, replacement, and parallel operation of multiple engines. It governs interoperability, not internal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engine contract, engine interface, engine API contract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Automatic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An alignment produced automatically by an 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Represents a proposed resolution decision, not a final one. Subject to thresholds and curation.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machine match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Manual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 human-in-the-loop process in which alignment decisions are explicitly accepted or rejected by a curator.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Link curation refines automated assertions for quality assurance and risk mitigation. Introduces expert judgement and accountability into the resolution lifecycle. This process refines or overrides automated assertions but does not bypass clustering rules or create identities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Link Curation,</w:t>
            </w:r>
          </w:p>
          <w:p w:rsidR="00000000" w:rsidDel="00000000" w:rsidP="00000000" w:rsidRDefault="00000000" w:rsidRPr="00000000" w14:paraId="00000078">
            <w:pPr>
              <w:rPr/>
            </w:pPr>
            <w:r w:rsidDel="00000000" w:rsidR="00000000" w:rsidRPr="00000000">
              <w:rPr>
                <w:rtl w:val="0"/>
              </w:rPr>
              <w:t xml:space="preserve">curated match, human validation, human review</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Alignment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The lifecycle state of an alignment assertion.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Used to distinguish proposed, accepted, rejected, or superseded assertions for audit, governance, and curation workflows. </w:t>
            </w:r>
          </w:p>
          <w:p w:rsidR="00000000" w:rsidDel="00000000" w:rsidP="00000000" w:rsidRDefault="00000000" w:rsidRPr="00000000" w14:paraId="0000007C">
            <w:pPr>
              <w:rPr/>
            </w:pPr>
            <w:r w:rsidDel="00000000" w:rsidR="00000000" w:rsidRPr="00000000">
              <w:rPr>
                <w:rtl w:val="0"/>
              </w:rPr>
              <w:t xml:space="preserve">Assertion status is independent of confidence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decision state, assertion status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 human actor responsible for curating alignments.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Acts through the curation application; does not manipulate engine internals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reviewer, data steward, domain expert, reviewer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Link Curation Web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 user-facing application supporting curation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Provides interfaces for review and decision-making; does not implement resolution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curation UI</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System of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An immutable store of submitted entity mentions and resolution requests submitted to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Preserves historic inputs, including who submitted what and when. </w:t>
            </w:r>
          </w:p>
          <w:p w:rsidR="00000000" w:rsidDel="00000000" w:rsidP="00000000" w:rsidRDefault="00000000" w:rsidRPr="00000000" w14:paraId="00000089">
            <w:pPr>
              <w:rPr/>
            </w:pPr>
            <w:r w:rsidDel="00000000" w:rsidR="00000000" w:rsidRPr="00000000">
              <w:rPr>
                <w:rtl w:val="0"/>
              </w:rPr>
              <w:t xml:space="preserve">It preserves full content and context for audit, traceability, and cluster rebuild. Does </w:t>
            </w:r>
            <w:r w:rsidDel="00000000" w:rsidR="00000000" w:rsidRPr="00000000">
              <w:rPr>
                <w:i w:val="1"/>
                <w:iCs w:val="1"/>
                <w:rtl w:val="0"/>
              </w:rPr>
              <w:t xml:space="preserve">not</w:t>
            </w:r>
            <w:r w:rsidDel="00000000" w:rsidR="00000000" w:rsidRPr="00000000">
              <w:rPr>
                <w:rtl w:val="0"/>
              </w:rPr>
              <w:t xml:space="preserve"> store engine-internal state, or alignment outcomes indicating cluster belonging.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requests log, input records, historical data, immutable record store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Canonical Entity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 persistent store of canonical identifiers and cluster membership assignments.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The registry records, for each cluster, its canonical identifier and the set of mention assignments (with confidence). It may also store cluster-level descriptive artefacts if agreed, but its minimum contract is identity + membership.</w:t>
            </w:r>
          </w:p>
          <w:p w:rsidR="00000000" w:rsidDel="00000000" w:rsidP="00000000" w:rsidRDefault="00000000" w:rsidRPr="00000000" w14:paraId="0000008E">
            <w:pPr>
              <w:rPr/>
            </w:pPr>
            <w:r w:rsidDel="00000000" w:rsidR="00000000" w:rsidRPr="00000000">
              <w:rPr>
                <w:rtl w:val="0"/>
              </w:rPr>
              <w:t xml:space="preserve">Exists in both ERS and ERE contexts. In the ERS, it is authoritative and supports lookup and exposure. In an ERE, it is operational and engine-specific, used to support resolution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resolved data repository, RDR, canonical registry, resolved entity repository, canonical registry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Resolution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Coordination logic managing the lifecycle of resolution requests and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Bridges intake, engine invocation, persistence, and exposure via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resolution coordination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Rebuild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 resolution operation that recomputes clusters for all entity mentions in the system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Implies reconstruction of the ERE’s internal state from authoritative mention records. Usually involves cleaning/deleting the canonical entity registry.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global reclustering, re-execution, full rebuild, system-wide reclustering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Targeted Reclustering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 resolution operation that recomputes cluster membership for a specific canonical entity or subset of mentions.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Used to correct or refine identity decisions without rebuilding the entire engine state. </w:t>
              <w:br w:type="textWrapping"/>
              <w:t xml:space="preserve">Support for such operation may vary across ERE implementations and is dependent on the adopted technology.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partial reclustering, partial rebuild, local reclustering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Entity Type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 system configuration artefact defining how entity mention representations of a given type are interpreted and processed.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Specifies schema expectations and extractor instructions (e.g. XPath, JSONPath, SPARQL). </w:t>
            </w:r>
          </w:p>
          <w:p w:rsidR="00000000" w:rsidDel="00000000" w:rsidP="00000000" w:rsidRDefault="00000000" w:rsidRPr="00000000" w14:paraId="0000009F">
            <w:pPr>
              <w:rPr/>
            </w:pPr>
            <w:r w:rsidDel="00000000" w:rsidR="00000000" w:rsidRPr="00000000">
              <w:rPr>
                <w:rtl w:val="0"/>
              </w:rPr>
              <w:t xml:space="preserve">It is </w:t>
            </w:r>
            <w:r w:rsidDel="00000000" w:rsidR="00000000" w:rsidRPr="00000000">
              <w:rPr>
                <w:i w:val="1"/>
                <w:iCs w:val="1"/>
                <w:rtl w:val="0"/>
              </w:rPr>
              <w:t xml:space="preserve">not</w:t>
            </w:r>
            <w:r w:rsidDel="00000000" w:rsidR="00000000" w:rsidRPr="00000000">
              <w:rPr>
                <w:rtl w:val="0"/>
              </w:rPr>
              <w:t xml:space="preserve"> an ontological category; it is an operational configuration keyed by entity type. </w:t>
            </w:r>
          </w:p>
          <w:p w:rsidR="00000000" w:rsidDel="00000000" w:rsidP="00000000" w:rsidRDefault="00000000" w:rsidRPr="00000000" w14:paraId="000000A0">
            <w:pPr>
              <w:rPr/>
            </w:pPr>
            <w:r w:rsidDel="00000000" w:rsidR="00000000" w:rsidRPr="00000000">
              <w:rPr>
                <w:rtl w:val="0"/>
              </w:rPr>
              <w:t xml:space="preserve">It may cover constraints on mention representation fields, resolution strategies, or matching logic.</w:t>
            </w:r>
          </w:p>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entity type config, schema config,</w:t>
            </w:r>
          </w:p>
        </w:tc>
      </w:tr>
    </w:tbl>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2240" w:w="15840"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