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23"/>
      </w:pPr>
      <w:r>
        <w:rPr>
          <w:rFonts w:ascii="Georgia" w:hAnsi="Georgia" w:cs="Georgia"/>
          <w:sz w:val="56"/>
          <w:sz-cs w:val="56"/>
          <w:b/>
          <w:spacing w:val="0"/>
          <w:color w:val="111117"/>
        </w:rPr>
        <w:t xml:space="preserve">City/Sync Money Transmission Risk Checklist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Prepared for: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City/Sync internal planning and pilot design review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Date: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March 26, 2026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Important: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This document is not legal advice and should not be treated as a formal legal opinion. It is a practical architecture and risk-positioning memo designed to help City/Sync maintain a strong regulatory posture while preparing the Pilot Program. Formal deployment decisions should still be reviewed by qualified counsel in the relevant jurisdictions.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/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Working Conclusion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Based on the current pilot architecture, City/Sync does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not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appear to be clearly operating as a money transmitter under the ordinary federal framework used by FinCEN, because the system is structured as a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non-transferable, earned, closed-loop civic credit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rather than a business that accepts and transmits money or convertible value on behalf of users.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That conclusion depends heavily on the system continuing to operate as designed. The stronger the protocol remains as a bounded civic-credit model, the stronger the regulatory position. The more it begins to resemble open-loop payments, stored value, or cash conversion, the weaker that position becomes.</w:t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Why the Current Architecture Is Favorable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b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CITY is earned, not purchased.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Credits are minted after verified civic contribution rather than sold for fiat or crypto.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b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CITY is non-transferable.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Users cannot send it peer-to-peer or use it as a freely circulating payment instrument.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b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CITY is not cash redeemable.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It is spent on defined offerings inside the pilot rather than converted back into money.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b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Redemption burns the credit.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The token lifecycle is tied to contribution and access, not monetary settlement between users.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b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City/Sync is not a custodial remittance layer.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The platform is not intended to receive funds from one party and transmit them to another party as part of its core model.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b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The network is bounded.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Redeemer participation, offerings, and governance are all restricted by program rules rather than open-market usage.</w:t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Green / Yellow / Red Checklist</w:t>
      </w:r>
    </w:p>
    <w:p>
      <w:pPr>
        <w:spacing w:after="127"/>
      </w:pPr>
      <w:r>
        <w:rPr>
          <w:rFonts w:ascii="Georgia" w:hAnsi="Georgia" w:cs="Georgia"/>
          <w:sz w:val="32"/>
          <w:sz-cs w:val="32"/>
          <w:b/>
          <w:spacing w:val="0"/>
          <w:color w:val="1B5E34"/>
        </w:rPr>
        <w:t xml:space="preserve">Green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 — Features That Strongly Support the Current Position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 remains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non-transferable at the contract level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, not merely hidden in the user interface.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No one can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buy CITY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with fiat, stablecoins, or other cryptoassets.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No user can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cash out CITY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for dollars, USDC, or other monetary value.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Participants redeem CITY only for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specific goods or services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offered by approved Redeemer Organizations.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Redemptions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burn CITY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rather than route value onward to another user.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City/Sync does not hold customer balances for later transfer.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The protocol and all public-facing materials consistently describe CITY as a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civic-program credit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or access instrument, not as money.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Redeemer relationships are documented as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program participation arrangements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, not payment processing arrangements.</w:t>
      </w:r>
    </w:p>
    <w:p>
      <w:pPr>
        <w:spacing w:after="127"/>
      </w:pPr>
      <w:r>
        <w:rPr>
          <w:rFonts w:ascii="Georgia" w:hAnsi="Georgia" w:cs="Georgia"/>
          <w:sz w:val="32"/>
          <w:sz-cs w:val="32"/>
          <w:b/>
          <w:spacing w:val="0"/>
          <w:color w:val="875703"/>
        </w:rPr>
        <w:t xml:space="preserve">Yellow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 — Features That Create Legal Ambiguity and Need Counsel Review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Redeemers are reimbursed off-chain in a way that starts to resemble settlement of monetary obligations through the platform.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Credits begin to function as a de facto general-purpose medium of exchange within a large merchant network.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Users can indirectly transfer value by using CITY to purchase transferrable or resellable benefits.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Third-party integrations create a practical market price for CITY, even if City/Sync itself does not sell it.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The protocol allows broad interoperability before legal treatment is mapped jurisdiction by jurisdiction.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Public communications begin describing CITY as equivalent to cash, spending power, compensation, or wages.</w:t>
      </w:r>
    </w:p>
    <w:p>
      <w:pPr>
        <w:spacing w:after="127"/>
      </w:pPr>
      <w:r>
        <w:rPr>
          <w:rFonts w:ascii="Georgia" w:hAnsi="Georgia" w:cs="Georgia"/>
          <w:sz w:val="32"/>
          <w:sz-cs w:val="32"/>
          <w:b/>
          <w:spacing w:val="0"/>
          <w:color w:val="891F24"/>
        </w:rPr>
        <w:t xml:space="preserve">Red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 — Design Choices That Would Materially Increase Money-Transmission Risk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Users can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transfer CITY to each other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Users can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swap CITY for fiat, USDC, or other crypto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City/Sync or an affiliate offers to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buy back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or redeem CITY for money.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City/Sync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accepts customer funds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and settles value onward to participants or redeemers.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 becomes a widely usable merchant token outside the bounded program environment.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Wrapped, bridged, or synthetic versions of CITY are allowed to circulate in secondary markets.</w:t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What Must Stay True for the Strongest Position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 must remain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earned rather than sold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 must remain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non-transferable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 must remain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non-cash redeemable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The pilot must remain a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closed, governed, role-based network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5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City/Sync must avoid becoming a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custodian of customer monetary value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6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Redeemer access should remain tied to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specific offerings and program rules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7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All contracts, terms, accounting treatment, and public messaging should reinforce that CITY is a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limited civic credit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, not a general monetary instrument.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8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Any expansion in scope should be reviewed before launch for both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federal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and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state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implications.</w:t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Why State Law Still Matters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Even if the federal position is reasonably favorable, state law may be broader or more aggressive. That is especially true in jurisdictions with distinct virtual-currency or money-transmission regimes. The practical takeaway is simple: the current architecture gives City/Sync a stronger federal argument, but it does not eliminate the need for state-level analysis before a scaled deployment.</w:t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Recommended Pilot Guardrails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Keep the smart-contract restrictions that prevent transfer and approval.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Do not introduce any fiat purchase flow for CITY.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Do not introduce any redemption-to-cash or stablecoin path.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Prohibit secondary-market activity involving CITY in the terms of service and pilot agreements.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Keep redeemer offerings narrowly defined and program-bound.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Review any off-chain reimbursement or subsidy structure so it does not convert the platform into a settlement business.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Maintain clear written descriptions of CITY as a civic credit, access instrument, and governance-controlled program unit.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Conduct jurisdiction-specific legal review before moving from bounded pilot to multi-city deployment.</w:t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Questions Counsel Should Eventually Answer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Does any state treat a non-transferable civic-program credit as regulated money transmission or stored value under its own statutes?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Would any off-chain reimbursement to redeemers change the legal analysis?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Should the pilot rely on additional contractual restrictions to reinforce the non-monetary nature of CITY?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Are there labor, tax, consumer protection, or prepaid access issues that should be analyzed separately from money transmission?</w:t>
      </w:r>
    </w:p>
    <w:p>
      <w:pPr>
        <w:ind w:left="720" w:first-line="-720"/>
      </w:pPr>
      <w:r>
        <w:rPr>
          <w:rFonts w:ascii="Georgia" w:hAnsi="Georgia" w:cs="Georgia"/>
          <w:sz w:val="32"/>
          <w:sz-cs w:val="32"/>
          <w:color w:val="111117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What deployment changes would require a new legal review before launch?</w:t>
      </w:r>
    </w:p>
    <w:p>
      <w:pPr>
        <w:spacing w:after="160"/>
      </w:pPr>
      <w:r>
        <w:rPr>
          <w:rFonts w:ascii="Georgia" w:hAnsi="Georgia" w:cs="Georgia"/>
          <w:sz w:val="40"/>
          <w:sz-cs w:val="40"/>
          <w:b/>
          <w:spacing w:val="0"/>
          <w:color w:val="111117"/>
        </w:rPr>
        <w:t xml:space="preserve">Bottom Line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City/Sync's strongest legal position is that CITY functions as a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non-transferable, earned, closed-loop civic credit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used to access defined offerings inside a governed local program. On that architecture, the system does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not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 look like a conventional money transmission business. The main legal risk is not the current design itself. The main legal risk is </w:t>
      </w:r>
      <w:r>
        <w:rPr>
          <w:rFonts w:ascii="Georgia" w:hAnsi="Georgia" w:cs="Georgia"/>
          <w:sz w:val="32"/>
          <w:sz-cs w:val="32"/>
          <w:b/>
          <w:spacing w:val="0"/>
          <w:color w:val="111117"/>
        </w:rPr>
        <w:t xml:space="preserve">drift</w:t>
      </w:r>
      <w:r>
        <w:rPr>
          <w:rFonts w:ascii="Georgia" w:hAnsi="Georgia" w:cs="Georgia"/>
          <w:sz w:val="32"/>
          <w:sz-cs w:val="32"/>
          <w:spacing w:val="0"/>
          <w:color w:val="111117"/>
        </w:rPr>
        <w:t xml:space="preserve">: adding transferability, convertibility, custody, or open-loop payment features that make the system behave more like regulated financial infrastructure.</w:t>
      </w:r>
    </w:p>
    <w:p>
      <w:pPr>
        <w:spacing w:after="280"/>
      </w:pPr>
      <w:r>
        <w:rPr>
          <w:rFonts w:ascii="Georgia" w:hAnsi="Georgia" w:cs="Georgia"/>
          <w:sz w:val="28"/>
          <w:sz-cs w:val="28"/>
          <w:spacing w:val="0"/>
          <w:color w:val="3B4350"/>
        </w:rPr>
        <w:t xml:space="preserve">Background sources considered for this internal summary include FinCEN guidance on virtual currency and the current City/Sync pilot architecture.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