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STitle"/>
      </w:pPr>
      <w:r>
        <w:t>City/Sync Fundraising Pathways</w:t>
      </w:r>
    </w:p>
    <w:p>
      <w:pPr>
        <w:pStyle w:val="CSSubtitle"/>
      </w:pPr>
      <w:r>
        <w:t>A staged capital strategy for grants, Arbitrum-aligned public-interest infrastructure, in-app monetization, and municipal partnerships.</w:t>
      </w:r>
    </w:p>
    <w:tbl>
      <w:tblPr>
        <w:tblW w:type="dxa" w:w="9360"/>
        <w:jc w:val="left"/>
        <w:tblLook w:firstColumn="1" w:firstRow="1" w:lastColumn="0" w:lastRow="0" w:noHBand="0" w:noVBand="1" w:val="04A0"/>
        <w:tblInd w:w="120" w:type="dxa"/>
        <w:tblLayout w:type="fixed"/>
      </w:tblPr>
      <w:tblGrid>
        <w:gridCol w:w="1875"/>
        <w:gridCol w:w="7485"/>
      </w:tblGrid>
      <w:tr>
        <w:tc>
          <w:tcPr>
            <w:tcW w:type="dxa" w:w="1875"/>
            <w:tcMar>
              <w:top w:w="80" w:type="dxa"/>
              <w:start w:w="120" w:type="dxa"/>
              <w:bottom w:w="80" w:type="dxa"/>
              <w:end w:w="120" w:type="dxa"/>
            </w:tcMar>
            <w:vAlign w:val="center"/>
            <w:shd w:fill="F2F4F7" w:val="clear"/>
          </w:tcPr>
          <w:p>
            <w:pPr>
              <w:spacing w:after="0"/>
            </w:pPr>
            <w:r>
              <w:rPr>
                <w:rFonts w:ascii="Calibri" w:hAnsi="Calibri"/>
                <w:b/>
                <w:color w:val="1F4D78"/>
                <w:sz w:val="18"/>
              </w:rPr>
              <w:t>Document</w:t>
            </w:r>
          </w:p>
        </w:tc>
        <w:tc>
          <w:tcPr>
            <w:tcW w:type="dxa" w:w="7485"/>
            <w:tcMar>
              <w:top w:w="80" w:type="dxa"/>
              <w:start w:w="120" w:type="dxa"/>
              <w:bottom w:w="80" w:type="dxa"/>
              <w:end w:w="120" w:type="dxa"/>
            </w:tcMar>
            <w:vAlign w:val="center"/>
            <w:shd w:fill="F2F4F7" w:val="clear"/>
          </w:tcPr>
          <w:p>
            <w:pPr>
              <w:spacing w:after="0"/>
            </w:pPr>
            <w:r>
              <w:rPr>
                <w:rFonts w:ascii="Calibri" w:hAnsi="Calibri"/>
                <w:color w:val="0B2545"/>
                <w:sz w:val="18"/>
              </w:rPr>
              <w:t>Funding and partnership strategy</w:t>
            </w:r>
          </w:p>
        </w:tc>
      </w:tr>
      <w:tr>
        <w:tc>
          <w:tcPr>
            <w:tcW w:type="dxa" w:w="1875"/>
            <w:tcMar>
              <w:top w:w="80" w:type="dxa"/>
              <w:start w:w="120" w:type="dxa"/>
              <w:bottom w:w="80" w:type="dxa"/>
              <w:end w:w="120" w:type="dxa"/>
            </w:tcMar>
            <w:vAlign w:val="center"/>
            <w:shd w:fill="F2F4F7" w:val="clear"/>
          </w:tcPr>
          <w:p>
            <w:pPr>
              <w:spacing w:after="0"/>
            </w:pPr>
            <w:r>
              <w:rPr>
                <w:rFonts w:ascii="Calibri" w:hAnsi="Calibri"/>
                <w:b/>
                <w:color w:val="1F4D78"/>
                <w:sz w:val="18"/>
              </w:rPr>
              <w:t>Date / Status</w:t>
            </w:r>
          </w:p>
        </w:tc>
        <w:tc>
          <w:tcPr>
            <w:tcW w:type="dxa" w:w="7485"/>
            <w:tcMar>
              <w:top w:w="80" w:type="dxa"/>
              <w:start w:w="120" w:type="dxa"/>
              <w:bottom w:w="80" w:type="dxa"/>
              <w:end w:w="120" w:type="dxa"/>
            </w:tcMar>
            <w:vAlign w:val="center"/>
            <w:shd w:fill="F2F4F7" w:val="clear"/>
          </w:tcPr>
          <w:p>
            <w:pPr>
              <w:spacing w:after="0"/>
            </w:pPr>
            <w:r>
              <w:rPr>
                <w:rFonts w:ascii="Calibri" w:hAnsi="Calibri"/>
                <w:color w:val="0B2545"/>
                <w:sz w:val="18"/>
              </w:rPr>
              <w:t>July 14, 2026  |  Working roadmap • Decision-oriented draft</w:t>
            </w:r>
          </w:p>
        </w:tc>
      </w:tr>
    </w:tbl>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E8F1F6" w:val="clear"/>
          </w:tcPr>
          <w:p>
            <w:pPr>
              <w:spacing w:after="0"/>
            </w:pPr>
            <w:r>
              <w:rPr>
                <w:rFonts w:ascii="Calibri" w:hAnsi="Calibri"/>
                <w:b/>
                <w:color w:val="1F4D78"/>
                <w:sz w:val="18"/>
              </w:rPr>
              <w:t xml:space="preserve">FUNDING THESIS  </w:t>
            </w:r>
            <w:r>
              <w:rPr>
                <w:rFonts w:ascii="Calibri" w:hAnsi="Calibri"/>
                <w:color w:val="0B2545"/>
                <w:sz w:val="21"/>
              </w:rPr>
              <w:t>City/Sync should finance adoption first, then infrastructure. The investable story is a nonprofit operating system that becomes repeatable city infrastructure; the L3 is a later public-interest settlement capability, not the first product sold.</w:t>
            </w:r>
          </w:p>
        </w:tc>
      </w:tr>
    </w:tbl>
    <w:p/>
    <w:p>
      <w:pPr>
        <w:pStyle w:val="Heading1"/>
      </w:pPr>
      <w:r>
        <w:t>1. Purpose and capital strategy</w:t>
      </w:r>
    </w:p>
    <w:p>
      <w:pPr>
        <w:spacing w:after="120"/>
      </w:pPr>
      <w:r>
        <w:rPr>
          <w:rFonts w:ascii="Calibri" w:hAnsi="Calibri"/>
          <w:color w:val="1F2937"/>
        </w:rPr>
        <w:t>This document defines four complementary fundraising pathways: grants, an Arbitrum-aligned L3/public-sector infrastructure plan, in-app monetization, and municipal funding. The pathways should not be treated as mutually exclusive. They are sequenced so that each source funds the risk it is best suited to bear: grants fund public-good validation; revenue funds repeatable customer value; municipal contracts fund local operations; and ecosystem/protocol funding supports technically specific, open, auditable infrastructure work.</w:t>
      </w:r>
    </w:p>
    <w:p>
      <w:pPr>
        <w:pStyle w:val="Heading2"/>
      </w:pPr>
      <w:r>
        <w:t>1.1 Financial principles</w:t>
      </w:r>
    </w:p>
    <w:p>
      <w:pPr>
        <w:keepLines/>
        <w:spacing w:after="80" w:line="280" w:lineRule="auto"/>
        <w:ind w:left="720" w:hanging="360"/>
      </w:pPr>
      <w:r>
        <w:rPr>
          <w:rFonts w:ascii="Calibri" w:hAnsi="Calibri"/>
          <w:color w:val="1F2937"/>
        </w:rPr>
        <w:t>•  Do not finance core nonprofit reliability with volatile token incentives.</w:t>
      </w:r>
    </w:p>
    <w:p>
      <w:pPr>
        <w:keepLines/>
        <w:spacing w:after="80" w:line="280" w:lineRule="auto"/>
        <w:ind w:left="720" w:hanging="360"/>
      </w:pPr>
      <w:r>
        <w:rPr>
          <w:rFonts w:ascii="Calibri" w:hAnsi="Calibri"/>
          <w:color w:val="1F2937"/>
        </w:rPr>
        <w:t>•  Do not promise city credits, chain deployment, or a municipal integration before local operators, policy, and operating budgets exist.</w:t>
      </w:r>
    </w:p>
    <w:p>
      <w:pPr>
        <w:keepLines/>
        <w:spacing w:after="80" w:line="280" w:lineRule="auto"/>
        <w:ind w:left="720" w:hanging="360"/>
      </w:pPr>
      <w:r>
        <w:rPr>
          <w:rFonts w:ascii="Calibri" w:hAnsi="Calibri"/>
          <w:color w:val="1F2937"/>
        </w:rPr>
        <w:t>•  Separate restricted grant funds, donation flows, municipal contract revenue, and any future credit reserve/accounting treatment in both accounting and reporting.</w:t>
      </w:r>
    </w:p>
    <w:p>
      <w:pPr>
        <w:keepLines/>
        <w:spacing w:after="80" w:line="280" w:lineRule="auto"/>
        <w:ind w:left="720" w:hanging="360"/>
      </w:pPr>
      <w:r>
        <w:rPr>
          <w:rFonts w:ascii="Calibri" w:hAnsi="Calibri"/>
          <w:color w:val="1F2937"/>
        </w:rPr>
        <w:t>•  Make every claim measurable: organizations activated, hours verified, report preparation reduced, opportunities filled, mobile field adoption, city-local operating cost, and public verification coverage.</w:t>
      </w:r>
    </w:p>
    <w:p>
      <w:pPr>
        <w:keepLines/>
        <w:spacing w:after="80" w:line="280" w:lineRule="auto"/>
        <w:ind w:left="720" w:hanging="360"/>
      </w:pPr>
      <w:r>
        <w:rPr>
          <w:rFonts w:ascii="Calibri" w:hAnsi="Calibri"/>
          <w:color w:val="1F2937"/>
        </w:rPr>
        <w:t>•  Use a city-by-city unit economics model. A new city is not “free scale”; it creates data, support, governance, and local partnership obligations.</w:t>
      </w:r>
    </w:p>
    <w:p>
      <w:pPr>
        <w:spacing w:before="80" w:after="80"/>
      </w:pPr>
      <w:r>
        <w:rPr>
          <w:rFonts w:ascii="Calibri" w:hAnsi="Calibri"/>
          <w:i/>
          <w:color w:val="667085"/>
          <w:sz w:val="18"/>
        </w:rPr>
        <w:t>Table 1. Capital should be matched to demonstrated risk reduction, not to a speculative end-state.</w:t>
      </w:r>
    </w:p>
    <w:tbl>
      <w:tblPr>
        <w:tblStyle w:val="TableGrid"/>
        <w:tblW w:type="dxa" w:w="9360"/>
        <w:jc w:val="left"/>
        <w:tblLook w:firstColumn="1" w:firstRow="1" w:lastColumn="0" w:lastRow="0" w:noHBand="0" w:noVBand="1" w:val="04A0"/>
        <w:tblInd w:w="120" w:type="dxa"/>
        <w:tblLayout w:type="fixed"/>
      </w:tblPr>
      <w:tblGrid>
        <w:gridCol w:w="1600"/>
        <w:gridCol w:w="2700"/>
        <w:gridCol w:w="3040"/>
        <w:gridCol w:w="2020"/>
      </w:tblGrid>
      <w:tr>
        <w:trPr>
          <w:tblHeader w:val="true"/>
        </w:trPr>
        <w:tc>
          <w:tcPr>
            <w:tcW w:type="dxa" w:w="1600"/>
            <w:tcMar>
              <w:top w:w="80" w:type="dxa"/>
              <w:start w:w="120" w:type="dxa"/>
              <w:bottom w:w="80" w:type="dxa"/>
              <w:end w:w="120" w:type="dxa"/>
            </w:tcMar>
            <w:vAlign w:val="center"/>
            <w:shd w:fill="F2F4F7" w:val="clear"/>
          </w:tcPr>
          <w:p>
            <w:pPr>
              <w:spacing w:after="0"/>
            </w:pPr>
            <w:r>
              <w:rPr>
                <w:rFonts w:ascii="Calibri" w:hAnsi="Calibri"/>
                <w:b/>
                <w:color w:val="1F4D78"/>
                <w:sz w:val="17"/>
              </w:rPr>
              <w:t>Stage</w:t>
            </w:r>
          </w:p>
        </w:tc>
        <w:tc>
          <w:tcPr>
            <w:tcW w:type="dxa" w:w="2700"/>
            <w:tcMar>
              <w:top w:w="80" w:type="dxa"/>
              <w:start w:w="120" w:type="dxa"/>
              <w:bottom w:w="80" w:type="dxa"/>
              <w:end w:w="120" w:type="dxa"/>
            </w:tcMar>
            <w:vAlign w:val="center"/>
            <w:shd w:fill="F2F4F7" w:val="clear"/>
          </w:tcPr>
          <w:p>
            <w:pPr>
              <w:spacing w:after="0"/>
            </w:pPr>
            <w:r>
              <w:rPr>
                <w:rFonts w:ascii="Calibri" w:hAnsi="Calibri"/>
                <w:b/>
                <w:color w:val="1F4D78"/>
                <w:sz w:val="17"/>
              </w:rPr>
              <w:t>Capital objective</w:t>
            </w:r>
          </w:p>
        </w:tc>
        <w:tc>
          <w:tcPr>
            <w:tcW w:type="dxa" w:w="3040"/>
            <w:tcMar>
              <w:top w:w="80" w:type="dxa"/>
              <w:start w:w="120" w:type="dxa"/>
              <w:bottom w:w="80" w:type="dxa"/>
              <w:end w:w="120" w:type="dxa"/>
            </w:tcMar>
            <w:vAlign w:val="center"/>
            <w:shd w:fill="F2F4F7" w:val="clear"/>
          </w:tcPr>
          <w:p>
            <w:pPr>
              <w:spacing w:after="0"/>
            </w:pPr>
            <w:r>
              <w:rPr>
                <w:rFonts w:ascii="Calibri" w:hAnsi="Calibri"/>
                <w:b/>
                <w:color w:val="1F4D78"/>
                <w:sz w:val="17"/>
              </w:rPr>
              <w:t>Evidence required</w:t>
            </w:r>
          </w:p>
        </w:tc>
        <w:tc>
          <w:tcPr>
            <w:tcW w:type="dxa" w:w="2020"/>
            <w:tcMar>
              <w:top w:w="80" w:type="dxa"/>
              <w:start w:w="120" w:type="dxa"/>
              <w:bottom w:w="80" w:type="dxa"/>
              <w:end w:w="120" w:type="dxa"/>
            </w:tcMar>
            <w:vAlign w:val="center"/>
            <w:shd w:fill="F2F4F7" w:val="clear"/>
          </w:tcPr>
          <w:p>
            <w:pPr>
              <w:spacing w:after="0"/>
            </w:pPr>
            <w:r>
              <w:rPr>
                <w:rFonts w:ascii="Calibri" w:hAnsi="Calibri"/>
                <w:b/>
                <w:color w:val="1F4D78"/>
                <w:sz w:val="17"/>
              </w:rPr>
              <w:t>Use of funds</w:t>
            </w:r>
          </w:p>
        </w:tc>
      </w:tr>
      <w:tr>
        <w:trPr>
          <w:cantSplit/>
        </w:trPr>
        <w:tc>
          <w:tcPr>
            <w:tcW w:type="dxa" w:w="1600"/>
          </w:tcPr>
          <w:p>
            <w:pPr>
              <w:spacing w:after="0"/>
            </w:pPr>
            <w:r>
              <w:rPr>
                <w:rFonts w:ascii="Calibri" w:hAnsi="Calibri"/>
                <w:color w:val="1F2937"/>
                <w:sz w:val="17"/>
              </w:rPr>
              <w:t>Validation</w:t>
            </w:r>
          </w:p>
        </w:tc>
        <w:tc>
          <w:tcPr>
            <w:tcW w:type="dxa" w:w="2700"/>
          </w:tcPr>
          <w:p>
            <w:pPr>
              <w:spacing w:after="0"/>
            </w:pPr>
            <w:r>
              <w:rPr>
                <w:rFonts w:ascii="Calibri" w:hAnsi="Calibri"/>
                <w:color w:val="1F2937"/>
                <w:sz w:val="17"/>
              </w:rPr>
              <w:t>Fund a nonprofit-first launch and prove repeatable operational value.</w:t>
            </w:r>
          </w:p>
        </w:tc>
        <w:tc>
          <w:tcPr>
            <w:tcW w:type="dxa" w:w="3040"/>
          </w:tcPr>
          <w:p>
            <w:pPr>
              <w:spacing w:after="0"/>
            </w:pPr>
            <w:r>
              <w:rPr>
                <w:rFonts w:ascii="Calibri" w:hAnsi="Calibri"/>
                <w:color w:val="1F2937"/>
                <w:sz w:val="17"/>
              </w:rPr>
              <w:t>Design partners live; baseline/after metrics; deployment and support runbooks; consent/privacy model.</w:t>
            </w:r>
          </w:p>
        </w:tc>
        <w:tc>
          <w:tcPr>
            <w:tcW w:type="dxa" w:w="2020"/>
          </w:tcPr>
          <w:p>
            <w:pPr>
              <w:spacing w:after="0"/>
            </w:pPr>
            <w:r>
              <w:rPr>
                <w:rFonts w:ascii="Calibri" w:hAnsi="Calibri"/>
                <w:color w:val="1F2937"/>
                <w:sz w:val="17"/>
              </w:rPr>
              <w:t>Core product hardening, implementation, nonprofit research, security, reporting, and mobile discovery.</w:t>
            </w:r>
          </w:p>
        </w:tc>
      </w:tr>
      <w:tr>
        <w:trPr>
          <w:cantSplit/>
        </w:trPr>
        <w:tc>
          <w:tcPr>
            <w:tcW w:type="dxa" w:w="1600"/>
          </w:tcPr>
          <w:p>
            <w:pPr>
              <w:spacing w:after="0"/>
            </w:pPr>
            <w:r>
              <w:rPr>
                <w:rFonts w:ascii="Calibri" w:hAnsi="Calibri"/>
                <w:color w:val="1F2937"/>
                <w:sz w:val="17"/>
              </w:rPr>
              <w:t>Expansion</w:t>
            </w:r>
          </w:p>
        </w:tc>
        <w:tc>
          <w:tcPr>
            <w:tcW w:type="dxa" w:w="2700"/>
          </w:tcPr>
          <w:p>
            <w:pPr>
              <w:spacing w:after="0"/>
            </w:pPr>
            <w:r>
              <w:rPr>
                <w:rFonts w:ascii="Calibri" w:hAnsi="Calibri"/>
                <w:color w:val="1F2937"/>
                <w:sz w:val="17"/>
              </w:rPr>
              <w:t>Fund multi-organization adoption, mobile build, feed utility, and municipal readiness.</w:t>
            </w:r>
          </w:p>
        </w:tc>
        <w:tc>
          <w:tcPr>
            <w:tcW w:type="dxa" w:w="3040"/>
          </w:tcPr>
          <w:p>
            <w:pPr>
              <w:spacing w:after="0"/>
            </w:pPr>
            <w:r>
              <w:rPr>
                <w:rFonts w:ascii="Calibri" w:hAnsi="Calibri"/>
                <w:color w:val="1F2937"/>
                <w:sz w:val="17"/>
              </w:rPr>
              <w:t>Retention, filled shifts, report time saved, city-operator model, mobile field prototype.</w:t>
            </w:r>
          </w:p>
        </w:tc>
        <w:tc>
          <w:tcPr>
            <w:tcW w:type="dxa" w:w="2020"/>
          </w:tcPr>
          <w:p>
            <w:pPr>
              <w:spacing w:after="0"/>
            </w:pPr>
            <w:r>
              <w:rPr>
                <w:rFonts w:ascii="Calibri" w:hAnsi="Calibri"/>
                <w:color w:val="1F2937"/>
                <w:sz w:val="17"/>
              </w:rPr>
              <w:t>Mobile application, integrations, local news/feed partnerships, city deployment tooling, admin controls.</w:t>
            </w:r>
          </w:p>
        </w:tc>
      </w:tr>
      <w:tr>
        <w:trPr>
          <w:cantSplit/>
        </w:trPr>
        <w:tc>
          <w:tcPr>
            <w:tcW w:type="dxa" w:w="1600"/>
          </w:tcPr>
          <w:p>
            <w:pPr>
              <w:spacing w:after="0"/>
            </w:pPr>
            <w:r>
              <w:rPr>
                <w:rFonts w:ascii="Calibri" w:hAnsi="Calibri"/>
                <w:color w:val="1F2937"/>
                <w:sz w:val="17"/>
              </w:rPr>
              <w:t>Ledger pilot</w:t>
            </w:r>
          </w:p>
        </w:tc>
        <w:tc>
          <w:tcPr>
            <w:tcW w:type="dxa" w:w="2700"/>
          </w:tcPr>
          <w:p>
            <w:pPr>
              <w:spacing w:after="0"/>
            </w:pPr>
            <w:r>
              <w:rPr>
                <w:rFonts w:ascii="Calibri" w:hAnsi="Calibri"/>
                <w:color w:val="1F2937"/>
                <w:sz w:val="17"/>
              </w:rPr>
              <w:t>Fund private city-credit/redeemer pilot with safeguards.</w:t>
            </w:r>
          </w:p>
        </w:tc>
        <w:tc>
          <w:tcPr>
            <w:tcW w:type="dxa" w:w="3040"/>
          </w:tcPr>
          <w:p>
            <w:pPr>
              <w:spacing w:after="0"/>
            </w:pPr>
            <w:r>
              <w:rPr>
                <w:rFonts w:ascii="Calibri" w:hAnsi="Calibri"/>
                <w:color w:val="1F2937"/>
                <w:sz w:val="17"/>
              </w:rPr>
              <w:t>Policy, local operator, legal assessment, redemption partner, reconciliation, audited event data.</w:t>
            </w:r>
          </w:p>
        </w:tc>
        <w:tc>
          <w:tcPr>
            <w:tcW w:type="dxa" w:w="2020"/>
          </w:tcPr>
          <w:p>
            <w:pPr>
              <w:spacing w:after="0"/>
            </w:pPr>
            <w:r>
              <w:rPr>
                <w:rFonts w:ascii="Calibri" w:hAnsi="Calibri"/>
                <w:color w:val="1F2937"/>
                <w:sz w:val="17"/>
              </w:rPr>
              <w:t>Policy engine, controls, verifier, merchant/redeemer integration, fraud/reconciliation, independent review.</w:t>
            </w:r>
          </w:p>
        </w:tc>
      </w:tr>
      <w:tr>
        <w:trPr>
          <w:cantSplit/>
        </w:trPr>
        <w:tc>
          <w:tcPr>
            <w:tcW w:type="dxa" w:w="1600"/>
          </w:tcPr>
          <w:p>
            <w:pPr>
              <w:spacing w:after="0"/>
            </w:pPr>
            <w:r>
              <w:rPr>
                <w:rFonts w:ascii="Calibri" w:hAnsi="Calibri"/>
                <w:color w:val="1F2937"/>
                <w:sz w:val="17"/>
              </w:rPr>
              <w:t>Protocol feasibility</w:t>
            </w:r>
          </w:p>
        </w:tc>
        <w:tc>
          <w:tcPr>
            <w:tcW w:type="dxa" w:w="2700"/>
          </w:tcPr>
          <w:p>
            <w:pPr>
              <w:spacing w:after="0"/>
            </w:pPr>
            <w:r>
              <w:rPr>
                <w:rFonts w:ascii="Calibri" w:hAnsi="Calibri"/>
                <w:color w:val="1F2937"/>
                <w:sz w:val="17"/>
              </w:rPr>
              <w:t>Fund testnet anchoring and L3/local-chain research, not premature production token issuance.</w:t>
            </w:r>
          </w:p>
        </w:tc>
        <w:tc>
          <w:tcPr>
            <w:tcW w:type="dxa" w:w="3040"/>
          </w:tcPr>
          <w:p>
            <w:pPr>
              <w:spacing w:after="0"/>
            </w:pPr>
            <w:r>
              <w:rPr>
                <w:rFonts w:ascii="Calibri" w:hAnsi="Calibri"/>
                <w:color w:val="1F2937"/>
                <w:sz w:val="17"/>
              </w:rPr>
              <w:t>Public reproducibility, audited requirements, cost/governance model, committed pilot operators.</w:t>
            </w:r>
          </w:p>
        </w:tc>
        <w:tc>
          <w:tcPr>
            <w:tcW w:type="dxa" w:w="2020"/>
          </w:tcPr>
          <w:p>
            <w:pPr>
              <w:spacing w:after="0"/>
            </w:pPr>
            <w:r>
              <w:rPr>
                <w:rFonts w:ascii="Calibri" w:hAnsi="Calibri"/>
                <w:color w:val="1F2937"/>
                <w:sz w:val="17"/>
              </w:rPr>
              <w:t>Architecture, contracts, node operations, data-availability design, audits, testnet, gas sponsorship experiment.</w:t>
            </w:r>
          </w:p>
        </w:tc>
      </w:tr>
    </w:tbl>
    <w:p/>
    <w:p>
      <w:pPr>
        <w:pStyle w:val="Heading1"/>
      </w:pPr>
      <w:r>
        <w:t>2. Pathway 1 — Grants</w:t>
      </w:r>
    </w:p>
    <w:p>
      <w:pPr>
        <w:spacing w:after="120"/>
      </w:pPr>
      <w:r>
        <w:rPr>
          <w:rFonts w:ascii="Calibri" w:hAnsi="Calibri"/>
          <w:color w:val="1F2937"/>
        </w:rPr>
        <w:t>Grants should be treated as a disciplined product-financing channel, not a substitute for customers. The strongest grant narrative is that City/Sync reduces the coordination cost of local service while giving nonprofit organizations better evidence, volunteers a durable participation record, and communities an accountable local operating layer.</w:t>
      </w:r>
    </w:p>
    <w:p>
      <w:pPr>
        <w:pStyle w:val="Heading2"/>
      </w:pPr>
      <w:r>
        <w:t>2.1 Grantable work packages</w:t>
      </w:r>
    </w:p>
    <w:p>
      <w:pPr>
        <w:keepLines/>
        <w:spacing w:after="80" w:line="280" w:lineRule="auto"/>
        <w:ind w:left="720" w:hanging="360"/>
      </w:pPr>
      <w:r>
        <w:rPr>
          <w:rFonts w:ascii="Calibri" w:hAnsi="Calibri"/>
          <w:color w:val="1F2937"/>
        </w:rPr>
        <w:t>•  Nonprofit capacity: volunteer management, compliance evidence, accessibility, multilingual support, data portability, and low-cost implementation for small organizations.</w:t>
      </w:r>
    </w:p>
    <w:p>
      <w:pPr>
        <w:keepLines/>
        <w:spacing w:after="80" w:line="280" w:lineRule="auto"/>
        <w:ind w:left="720" w:hanging="360"/>
      </w:pPr>
      <w:r>
        <w:rPr>
          <w:rFonts w:ascii="Calibri" w:hAnsi="Calibri"/>
          <w:color w:val="1F2937"/>
        </w:rPr>
        <w:t>•  Civic and public-interest technology: local service coordination, transparent/aggregated impact data, city operating playbooks, accessibility, and community resilience.</w:t>
      </w:r>
    </w:p>
    <w:p>
      <w:pPr>
        <w:keepLines/>
        <w:spacing w:after="80" w:line="280" w:lineRule="auto"/>
        <w:ind w:left="720" w:hanging="360"/>
      </w:pPr>
      <w:r>
        <w:rPr>
          <w:rFonts w:ascii="Calibri" w:hAnsi="Calibri"/>
          <w:color w:val="1F2937"/>
        </w:rPr>
        <w:t>•  Workforce and youth/service outcomes: training, volunteer pathways, credential recognition, employer/education partnerships, and verifiable service history.</w:t>
      </w:r>
    </w:p>
    <w:p>
      <w:pPr>
        <w:keepLines/>
        <w:spacing w:after="80" w:line="280" w:lineRule="auto"/>
        <w:ind w:left="720" w:hanging="360"/>
      </w:pPr>
      <w:r>
        <w:rPr>
          <w:rFonts w:ascii="Calibri" w:hAnsi="Calibri"/>
          <w:color w:val="1F2937"/>
        </w:rPr>
        <w:t>•  Trust, safety, and privacy: consent-centered credential exchange, identity minimization, secure multi-organization authority, and public-interest governance.</w:t>
      </w:r>
    </w:p>
    <w:p>
      <w:pPr>
        <w:keepLines/>
        <w:spacing w:after="80" w:line="280" w:lineRule="auto"/>
        <w:ind w:left="720" w:hanging="360"/>
      </w:pPr>
      <w:r>
        <w:rPr>
          <w:rFonts w:ascii="Calibri" w:hAnsi="Calibri"/>
          <w:color w:val="1F2937"/>
        </w:rPr>
        <w:t>•  Open infrastructure research: independent ledger verification, audit tools, public anchor methods, and future local-chain feasibility research.</w:t>
      </w:r>
    </w:p>
    <w:p>
      <w:pPr>
        <w:pStyle w:val="Heading2"/>
      </w:pPr>
      <w:r>
        <w:t>2.2 Grant readiness package</w:t>
      </w:r>
    </w:p>
    <w:p>
      <w:pPr>
        <w:spacing w:after="120"/>
      </w:pPr>
      <w:r>
        <w:rPr>
          <w:rFonts w:ascii="Calibri" w:hAnsi="Calibri"/>
          <w:color w:val="1F2937"/>
        </w:rPr>
        <w:t>Every grant application should be assembled from reusable assets: organization story; problem statement; theory of change; target population; local partners; implementation timeline; budget; measurable outputs/outcomes; evidence collection plan; risk register; privacy and security statement; accessibility plan; sustainability path; and letters of commitment. The project should maintain a grant calendar with owner, decision date, reporting cadence, restricted-use conditions, and matching requirement.</w:t>
      </w:r>
    </w:p>
    <w:p>
      <w:pPr>
        <w:pStyle w:val="Heading2"/>
      </w:pPr>
      <w:r>
        <w:t>2.3 Measurement language for funders</w:t>
      </w:r>
    </w:p>
    <w:p>
      <w:pPr>
        <w:spacing w:after="120"/>
      </w:pPr>
      <w:r>
        <w:rPr>
          <w:rFonts w:ascii="Calibri" w:hAnsi="Calibri"/>
          <w:color w:val="1F2937"/>
        </w:rPr>
        <w:t>Use both operational outputs and community outcomes. Outputs: organizations onboarded, volunteers activated, shifts filled, verified hours, reports created, and local partners trained. Outcomes: reduced administrative time, higher volunteer retention, improved ability to access opportunities, improved organization capacity, and evidence of underserved populations being reached—measured only with explicit consent and an equity review. Avoid claiming causal social impact without an evaluation design.</w:t>
      </w:r>
    </w:p>
    <w:p>
      <w:pPr>
        <w:pStyle w:val="Heading2"/>
      </w:pPr>
      <w:r>
        <w:t>2.4 Grant risk controls</w:t>
      </w:r>
    </w:p>
    <w:p>
      <w:pPr>
        <w:keepLines/>
        <w:spacing w:after="80" w:line="280" w:lineRule="auto"/>
        <w:ind w:left="720" w:hanging="360"/>
      </w:pPr>
      <w:r>
        <w:rPr>
          <w:rFonts w:ascii="Calibri" w:hAnsi="Calibri"/>
          <w:color w:val="1F2937"/>
        </w:rPr>
        <w:t>•  Do not embed one-off funder requirements into the core product without a reusable design.</w:t>
      </w:r>
    </w:p>
    <w:p>
      <w:pPr>
        <w:keepLines/>
        <w:spacing w:after="80" w:line="280" w:lineRule="auto"/>
        <w:ind w:left="720" w:hanging="360"/>
      </w:pPr>
      <w:r>
        <w:rPr>
          <w:rFonts w:ascii="Calibri" w:hAnsi="Calibri"/>
          <w:color w:val="1F2937"/>
        </w:rPr>
        <w:t>•  Keep restricted-grant deliverables, narrative reports, and evidence in a grant workspace with owner/reviewer/version history.</w:t>
      </w:r>
    </w:p>
    <w:p>
      <w:pPr>
        <w:keepLines/>
        <w:spacing w:after="80" w:line="280" w:lineRule="auto"/>
        <w:ind w:left="720" w:hanging="360"/>
      </w:pPr>
      <w:r>
        <w:rPr>
          <w:rFonts w:ascii="Calibri" w:hAnsi="Calibri"/>
          <w:color w:val="1F2937"/>
        </w:rPr>
        <w:t>•  Budget for evaluation, security, accessibility, administration, and partner compensation; do not present them as unfunded overhead.</w:t>
      </w:r>
    </w:p>
    <w:p>
      <w:pPr>
        <w:keepLines/>
        <w:spacing w:after="80" w:line="280" w:lineRule="auto"/>
        <w:ind w:left="720" w:hanging="360"/>
      </w:pPr>
      <w:r>
        <w:rPr>
          <w:rFonts w:ascii="Calibri" w:hAnsi="Calibri"/>
          <w:color w:val="1F2937"/>
        </w:rPr>
        <w:t>•  Never claim tax, employment, background-check, or civic-credit legal compliance without counsel and a documented policy.</w:t>
      </w:r>
    </w:p>
    <w:p>
      <w:pPr>
        <w:pStyle w:val="Heading1"/>
      </w:pPr>
      <w:r>
        <w:t>3. Pathway 2 — Arbitrum plan: City/Sync L3 and public-sector infrastructure</w:t>
      </w:r>
    </w:p>
    <w:p>
      <w:pPr>
        <w:pStyle w:val="Heading2"/>
      </w:pPr>
      <w:r>
        <w:t>3.1 Positioning</w:t>
      </w:r>
    </w:p>
    <w:p>
      <w:pPr>
        <w:spacing w:after="120"/>
      </w:pPr>
      <w:r>
        <w:rPr>
          <w:rFonts w:ascii="Calibri" w:hAnsi="Calibri"/>
          <w:color w:val="1F2937"/>
        </w:rPr>
        <w:t>The Arbitrum conversation should begin with a concrete public-interest infrastructure problem: city-local activity records can be independently verified without placing private volunteer data on a public chain; future local operators can publish auditable commitments; and qualified public-sector programs may sponsor the gas cost of public verification rather than asking residents or nonprofits to manage crypto. Arbitrum’s current documentation describes dedicated chains with configurable rules and Ethereum settlement, and its Nitro architecture supports EVM-compatible execution [S3][S4].</w:t>
      </w:r>
    </w:p>
    <w:p>
      <w:pPr>
        <w:spacing w:after="120"/>
      </w:pPr>
      <w:r>
        <w:rPr>
          <w:rFonts w:ascii="Calibri" w:hAnsi="Calibri"/>
          <w:color w:val="1F2937"/>
        </w:rPr>
        <w:t>The application should not ask for a major L3 grant because an L3 sounds ambitious. It should seek staged support for a defined sequence: feasibility, testnet, verification tooling, operator model, security review, and only then a limited public-sector pilot.</w:t>
      </w:r>
    </w:p>
    <w:p>
      <w:pPr>
        <w:pStyle w:val="Heading2"/>
      </w:pPr>
      <w:r>
        <w:t>3.2 Recommended grant narrative</w:t>
      </w:r>
    </w:p>
    <w:p>
      <w:pPr>
        <w:spacing w:after="120"/>
      </w:pPr>
      <w:r>
        <w:rPr>
          <w:rFonts w:ascii="Calibri" w:hAnsi="Calibri"/>
          <w:color w:val="1F2937"/>
        </w:rPr>
        <w:t>Problem: nonprofit and city partners need verifiable, local, privacy-preserving operational history; existing civic systems are fragmented and difficult to audit.</w:t>
      </w:r>
    </w:p>
    <w:p>
      <w:pPr>
        <w:spacing w:after="120"/>
      </w:pPr>
      <w:r>
        <w:rPr>
          <w:rFonts w:ascii="Calibri" w:hAnsi="Calibri"/>
          <w:color w:val="1F2937"/>
        </w:rPr>
        <w:t>Approach: begin with independent city SQLite/libSQL ledgers and canonical event hashes; publish reproducible proof bundles; deploy a testnet anchor/replay registry; evaluate a City/Sync Orbit L3 that settles to an Arbitrum parent chain; and define city execution domains with local operator responsibilities.</w:t>
      </w:r>
    </w:p>
    <w:p>
      <w:pPr>
        <w:spacing w:after="120"/>
      </w:pPr>
      <w:r>
        <w:rPr>
          <w:rFonts w:ascii="Calibri" w:hAnsi="Calibri"/>
          <w:color w:val="1F2937"/>
        </w:rPr>
        <w:t>Public benefit: no resident wallet requirement, no raw personal data on-chain, no speculative token premise, open verification tools, documented governance, transparent gas-sponsorship policy, and reusable implementation materials for participating cities.</w:t>
      </w:r>
    </w:p>
    <w:p>
      <w:pPr>
        <w:pStyle w:val="Heading2"/>
      </w:pPr>
      <w:r>
        <w:t>3.3 Staged request design</w:t>
      </w:r>
    </w:p>
    <w:p>
      <w:pPr>
        <w:keepLines/>
        <w:spacing w:after="80" w:line="280" w:lineRule="auto"/>
        <w:ind w:left="720" w:hanging="360"/>
        <w:numPr>
          <w:ilvl w:val="0"/>
          <w:numId w:val="111"/>
        </w:numPr>
      </w:pPr>
      <w:r>
        <w:rPr>
          <w:rFonts w:ascii="Calibri" w:hAnsi="Calibri"/>
          <w:color w:val="1F2937"/>
        </w:rPr>
        <w:t>Feasibility / research request. Fund threat modeling, privacy architecture, event-to-contract specification, cost model, governance design, and testnet prototype. Deliver open technical artifacts and an independent review.</w:t>
      </w:r>
    </w:p>
    <w:p>
      <w:pPr>
        <w:keepLines/>
        <w:spacing w:after="80" w:line="280" w:lineRule="auto"/>
        <w:ind w:left="720" w:hanging="360"/>
        <w:numPr>
          <w:ilvl w:val="0"/>
          <w:numId w:val="111"/>
        </w:numPr>
      </w:pPr>
      <w:r>
        <w:rPr>
          <w:rFonts w:ascii="Calibri" w:hAnsi="Calibri"/>
          <w:color w:val="1F2937"/>
        </w:rPr>
        <w:t>Testnet and verifier request. Fund contract development, reproducible event replay, public proof viewer, developer documentation, security review, and a small gas-sponsorship experiment for organization/city operator transactions.</w:t>
      </w:r>
    </w:p>
    <w:p>
      <w:pPr>
        <w:keepLines/>
        <w:spacing w:after="80" w:line="280" w:lineRule="auto"/>
        <w:ind w:left="720" w:hanging="360"/>
        <w:numPr>
          <w:ilvl w:val="0"/>
          <w:numId w:val="111"/>
        </w:numPr>
      </w:pPr>
      <w:r>
        <w:rPr>
          <w:rFonts w:ascii="Calibri" w:hAnsi="Calibri"/>
          <w:color w:val="1F2937"/>
        </w:rPr>
        <w:t>Pilot request. Fund a limited number of city operators, secure node operations, data-availability implementation, monitoring, audit, incident exercise, and rigorous public reporting. No production credit transferability is in scope.</w:t>
      </w:r>
    </w:p>
    <w:p>
      <w:pPr>
        <w:keepLines/>
        <w:spacing w:after="80" w:line="280" w:lineRule="auto"/>
        <w:ind w:left="720" w:hanging="360"/>
        <w:numPr>
          <w:ilvl w:val="0"/>
          <w:numId w:val="111"/>
        </w:numPr>
      </w:pPr>
      <w:r>
        <w:rPr>
          <w:rFonts w:ascii="Calibri" w:hAnsi="Calibri"/>
          <w:color w:val="1F2937"/>
        </w:rPr>
        <w:t>Expansion request. Only after the pilot shows use, cost discipline, independent verification, and local operating commitments should City/Sync propose broader ecosystem support.</w:t>
      </w:r>
    </w:p>
    <w:p>
      <w:pPr>
        <w:pStyle w:val="Heading2"/>
      </w:pPr>
      <w:r>
        <w:t>3.4 Gas sponsorship policy</w:t>
      </w:r>
    </w:p>
    <w:p>
      <w:pPr>
        <w:spacing w:after="120"/>
      </w:pPr>
      <w:r>
        <w:rPr>
          <w:rFonts w:ascii="Calibri" w:hAnsi="Calibri"/>
          <w:color w:val="1F2937"/>
        </w:rPr>
        <w:t>Gas sponsorship is a public-service design choice, not a growth hack. The sponsored actor should be a municipal or organizational relayer account; residents and volunteers should not be asked to buy or custody crypto. Set daily and per-city caps, permitted transaction types, abuse detection, funding source, provider terms, budget dashboard, and pause control. Publish the rule that determines which on-chain actions are sponsored and how a city exits or renews sponsorship.</w:t>
      </w:r>
    </w:p>
    <w:p>
      <w:pPr>
        <w:pStyle w:val="Heading2"/>
      </w:pPr>
      <w:r>
        <w:t>3.5 Funding landscape discipline</w:t>
      </w:r>
    </w:p>
    <w:p>
      <w:pPr>
        <w:spacing w:after="120"/>
      </w:pPr>
      <w:r>
        <w:rPr>
          <w:rFonts w:ascii="Calibri" w:hAnsi="Calibri"/>
          <w:color w:val="1F2937"/>
        </w:rPr>
        <w:t>Arbitrum ecosystem grant programs and structures evolve. As of the current planning period, Arbitrum has documented builder/public-goods-oriented grant and coordination initiatives, but eligibility and active windows must be verified immediately before application [S5][S6]. City/Sync should build relationships and track application windows; it should not assume that a previously announced program is open or that a grant will cover ongoing operations.</w:t>
      </w:r>
    </w:p>
    <w:p>
      <w:pPr>
        <w:pStyle w:val="Heading1"/>
      </w:pPr>
      <w:r>
        <w:t>4. Pathway 3 — In-app monetization</w:t>
      </w:r>
    </w:p>
    <w:p>
      <w:pPr>
        <w:pStyle w:val="Heading2"/>
      </w:pPr>
      <w:r>
        <w:t>4.1 Donations: the first monetization wedge</w:t>
      </w:r>
    </w:p>
    <w:p>
      <w:pPr>
        <w:spacing w:after="120"/>
      </w:pPr>
      <w:r>
        <w:rPr>
          <w:rFonts w:ascii="Calibri" w:hAnsi="Calibri"/>
          <w:color w:val="1F2937"/>
        </w:rPr>
        <w:t>The smallest credible monetization path is contextual donation enablement on organization and opportunity pages. The platform can charge a transparent application/platform fee—potentially 1–2%—in addition to processor fees where the processor, jurisdiction, organization agreement, and disclosure model permit it. Stripe Connect documents application-fee/pricing mechanisms but the allowed funds flow and fee payer depend on the chosen configuration and country [S2].</w:t>
      </w:r>
    </w:p>
    <w:p>
      <w:pPr>
        <w:spacing w:after="120"/>
      </w:pPr>
      <w:r>
        <w:rPr>
          <w:rFonts w:ascii="Calibri" w:hAnsi="Calibri"/>
          <w:color w:val="1F2937"/>
        </w:rPr>
        <w:t>Recommended initial model:</w:t>
      </w:r>
    </w:p>
    <w:p>
      <w:pPr>
        <w:keepLines/>
        <w:spacing w:after="80" w:line="280" w:lineRule="auto"/>
        <w:ind w:left="720" w:hanging="360"/>
      </w:pPr>
      <w:r>
        <w:rPr>
          <w:rFonts w:ascii="Calibri" w:hAnsi="Calibri"/>
          <w:color w:val="1F2937"/>
        </w:rPr>
        <w:t>•  The organization is the connected recipient and controls its payout/onboarding information.</w:t>
      </w:r>
    </w:p>
    <w:p>
      <w:pPr>
        <w:keepLines/>
        <w:spacing w:after="80" w:line="280" w:lineRule="auto"/>
        <w:ind w:left="720" w:hanging="360"/>
      </w:pPr>
      <w:r>
        <w:rPr>
          <w:rFonts w:ascii="Calibri" w:hAnsi="Calibri"/>
          <w:color w:val="1F2937"/>
        </w:rPr>
        <w:t>•  City/Sync uses hosted checkout and never asks donors to send funds to a personal wallet.</w:t>
      </w:r>
    </w:p>
    <w:p>
      <w:pPr>
        <w:keepLines/>
        <w:spacing w:after="80" w:line="280" w:lineRule="auto"/>
        <w:ind w:left="720" w:hanging="360"/>
      </w:pPr>
      <w:r>
        <w:rPr>
          <w:rFonts w:ascii="Calibri" w:hAnsi="Calibri"/>
          <w:color w:val="1F2937"/>
        </w:rPr>
        <w:t>•  The payment page clearly identifies the organization, donation amount, processor fee (if passed through), optional City/Sync fee, refund/contact route, privacy terms, and receipt responsibility.</w:t>
      </w:r>
    </w:p>
    <w:p>
      <w:pPr>
        <w:keepLines/>
        <w:spacing w:after="80" w:line="280" w:lineRule="auto"/>
        <w:ind w:left="720" w:hanging="360"/>
      </w:pPr>
      <w:r>
        <w:rPr>
          <w:rFonts w:ascii="Calibri" w:hAnsi="Calibri"/>
          <w:color w:val="1F2937"/>
        </w:rPr>
        <w:t>•  The platform fee is separately booked and reconciled. Donations, fees, and civic credits have different ledgers and never net against one another.</w:t>
      </w:r>
    </w:p>
    <w:p>
      <w:pPr>
        <w:keepLines/>
        <w:spacing w:after="80" w:line="280" w:lineRule="auto"/>
        <w:ind w:left="720" w:hanging="360"/>
      </w:pPr>
      <w:r>
        <w:rPr>
          <w:rFonts w:ascii="Calibri" w:hAnsi="Calibri"/>
          <w:color w:val="1F2937"/>
        </w:rPr>
        <w:t>•  Before launch, obtain payment, charitable-solicitation, tax-receipt, consumer-protection, and cross-border legal guidance for each supported jurisdiction.</w:t>
      </w:r>
    </w:p>
    <w:p>
      <w:pPr>
        <w:pStyle w:val="Heading2"/>
      </w:pPr>
      <w:r>
        <w:t>4.2 Advertising: later and carefully bounded</w:t>
      </w:r>
    </w:p>
    <w:p>
      <w:pPr>
        <w:spacing w:after="120"/>
      </w:pPr>
      <w:r>
        <w:rPr>
          <w:rFonts w:ascii="Calibri" w:hAnsi="Calibri"/>
          <w:color w:val="1F2937"/>
        </w:rPr>
        <w:t>Advertising should be local, labeled, and additive—not a data-extraction layer. Start only after the feed has earned engagement through genuine utility. Prefer sponsorship of a city resource, event calendar, local service campaign, or organization discovery category. Do not target ads using sensitive identity, screening, waiver, health, religion, political belief, or vulnerable-population data. Build city and organization controls, frequency caps, ad-library transparency, category restrictions, brand safety, clear labeling, and a complaint/removal process.</w:t>
      </w:r>
    </w:p>
    <w:p>
      <w:pPr>
        <w:pStyle w:val="Heading2"/>
      </w:pPr>
      <w:r>
        <w:t>4.3 Other repeatable revenue candidates</w:t>
      </w:r>
    </w:p>
    <w:p>
      <w:pPr>
        <w:keepLines/>
        <w:spacing w:after="80" w:line="280" w:lineRule="auto"/>
        <w:ind w:left="720" w:hanging="360"/>
      </w:pPr>
      <w:r>
        <w:rPr>
          <w:rFonts w:ascii="Calibri" w:hAnsi="Calibri"/>
          <w:color w:val="1F2937"/>
        </w:rPr>
        <w:t>•  Organization subscription tiers for advanced reporting, integrations, configuration, support, and multi-location administration—without paywalling essential accessibility/safety features.</w:t>
      </w:r>
    </w:p>
    <w:p>
      <w:pPr>
        <w:keepLines/>
        <w:spacing w:after="80" w:line="280" w:lineRule="auto"/>
        <w:ind w:left="720" w:hanging="360"/>
      </w:pPr>
      <w:r>
        <w:rPr>
          <w:rFonts w:ascii="Calibri" w:hAnsi="Calibri"/>
          <w:color w:val="1F2937"/>
        </w:rPr>
        <w:t>•  Implementation/support packages for larger organizations or city partners.</w:t>
      </w:r>
    </w:p>
    <w:p>
      <w:pPr>
        <w:keepLines/>
        <w:spacing w:after="80" w:line="280" w:lineRule="auto"/>
        <w:ind w:left="720" w:hanging="360"/>
      </w:pPr>
      <w:r>
        <w:rPr>
          <w:rFonts w:ascii="Calibri" w:hAnsi="Calibri"/>
          <w:color w:val="1F2937"/>
        </w:rPr>
        <w:t>•  Municipal annual operating contracts described below.</w:t>
      </w:r>
    </w:p>
    <w:p>
      <w:pPr>
        <w:keepLines/>
        <w:spacing w:after="80" w:line="280" w:lineRule="auto"/>
        <w:ind w:left="720" w:hanging="360"/>
      </w:pPr>
      <w:r>
        <w:rPr>
          <w:rFonts w:ascii="Calibri" w:hAnsi="Calibri"/>
          <w:color w:val="1F2937"/>
        </w:rPr>
        <w:t>•  Sponsorships for opt-in local events or community challenges, governed by clear equity and editorial policies.</w:t>
      </w:r>
    </w:p>
    <w:p>
      <w:pPr>
        <w:pStyle w:val="Heading1"/>
      </w:pPr>
      <w:r>
        <w:t>5. Pathway 4 — Municipal funding</w:t>
      </w:r>
    </w:p>
    <w:p>
      <w:pPr>
        <w:spacing w:after="120"/>
      </w:pPr>
      <w:r>
        <w:rPr>
          <w:rFonts w:ascii="Calibri" w:hAnsi="Calibri"/>
          <w:color w:val="1F2937"/>
        </w:rPr>
        <w:t>Municipal funding becomes realistic when City/Sync can be procured as local volunteer/service infrastructure with clear outcomes, an accountable operator, and a maintainable annual budget. The first municipal offer should not require the city to adopt credits or blockchain. It should offer a local operating network that helps the city see and support civic participation while nonprofits retain their own program control.</w:t>
      </w:r>
    </w:p>
    <w:p>
      <w:pPr>
        <w:spacing w:before="80" w:after="80"/>
      </w:pPr>
      <w:r>
        <w:rPr>
          <w:rFonts w:ascii="Calibri" w:hAnsi="Calibri"/>
          <w:i/>
          <w:color w:val="667085"/>
          <w:sz w:val="18"/>
        </w:rPr>
        <w:t>Table 2. A municipal proposal should be sold as local service infrastructure, not as a technology experiment.</w:t>
      </w:r>
    </w:p>
    <w:tbl>
      <w:tblPr>
        <w:tblStyle w:val="TableGrid"/>
        <w:tblW w:type="dxa" w:w="9360"/>
        <w:jc w:val="left"/>
        <w:tblLook w:firstColumn="1" w:firstRow="1" w:lastColumn="0" w:lastRow="0" w:noHBand="0" w:noVBand="1" w:val="04A0"/>
        <w:tblInd w:w="120" w:type="dxa"/>
        <w:tblLayout w:type="fixed"/>
      </w:tblPr>
      <w:tblGrid>
        <w:gridCol w:w="2600"/>
        <w:gridCol w:w="3500"/>
        <w:gridCol w:w="3260"/>
      </w:tblGrid>
      <w:tr>
        <w:trPr>
          <w:tblHeader w:val="true"/>
        </w:trPr>
        <w:tc>
          <w:tcPr>
            <w:tcW w:type="dxa" w:w="2600"/>
            <w:tcMar>
              <w:top w:w="80" w:type="dxa"/>
              <w:start w:w="120" w:type="dxa"/>
              <w:bottom w:w="80" w:type="dxa"/>
              <w:end w:w="120" w:type="dxa"/>
            </w:tcMar>
            <w:vAlign w:val="center"/>
            <w:shd w:fill="F2F4F7" w:val="clear"/>
          </w:tcPr>
          <w:p>
            <w:pPr>
              <w:spacing w:after="0"/>
            </w:pPr>
            <w:r>
              <w:rPr>
                <w:rFonts w:ascii="Calibri" w:hAnsi="Calibri"/>
                <w:b/>
                <w:color w:val="1F4D78"/>
                <w:sz w:val="17"/>
              </w:rPr>
              <w:t>Municipal package element</w:t>
            </w:r>
          </w:p>
        </w:tc>
        <w:tc>
          <w:tcPr>
            <w:tcW w:type="dxa" w:w="3500"/>
            <w:tcMar>
              <w:top w:w="80" w:type="dxa"/>
              <w:start w:w="120" w:type="dxa"/>
              <w:bottom w:w="80" w:type="dxa"/>
              <w:end w:w="120" w:type="dxa"/>
            </w:tcMar>
            <w:vAlign w:val="center"/>
            <w:shd w:fill="F2F4F7" w:val="clear"/>
          </w:tcPr>
          <w:p>
            <w:pPr>
              <w:spacing w:after="0"/>
            </w:pPr>
            <w:r>
              <w:rPr>
                <w:rFonts w:ascii="Calibri" w:hAnsi="Calibri"/>
                <w:b/>
                <w:color w:val="1F4D78"/>
                <w:sz w:val="17"/>
              </w:rPr>
              <w:t>What the city receives</w:t>
            </w:r>
          </w:p>
        </w:tc>
        <w:tc>
          <w:tcPr>
            <w:tcW w:type="dxa" w:w="3260"/>
            <w:tcMar>
              <w:top w:w="80" w:type="dxa"/>
              <w:start w:w="120" w:type="dxa"/>
              <w:bottom w:w="80" w:type="dxa"/>
              <w:end w:w="120" w:type="dxa"/>
            </w:tcMar>
            <w:vAlign w:val="center"/>
            <w:shd w:fill="F2F4F7" w:val="clear"/>
          </w:tcPr>
          <w:p>
            <w:pPr>
              <w:spacing w:after="0"/>
            </w:pPr>
            <w:r>
              <w:rPr>
                <w:rFonts w:ascii="Calibri" w:hAnsi="Calibri"/>
                <w:b/>
                <w:color w:val="1F4D78"/>
                <w:sz w:val="17"/>
              </w:rPr>
              <w:t>Proof City/Sync must bring</w:t>
            </w:r>
          </w:p>
        </w:tc>
      </w:tr>
      <w:tr>
        <w:trPr>
          <w:cantSplit/>
        </w:trPr>
        <w:tc>
          <w:tcPr>
            <w:tcW w:type="dxa" w:w="2600"/>
          </w:tcPr>
          <w:p>
            <w:pPr>
              <w:spacing w:after="0"/>
            </w:pPr>
            <w:r>
              <w:rPr>
                <w:rFonts w:ascii="Calibri" w:hAnsi="Calibri"/>
                <w:color w:val="1F2937"/>
                <w:sz w:val="17"/>
              </w:rPr>
              <w:t>Local volunteer infrastructure</w:t>
            </w:r>
          </w:p>
        </w:tc>
        <w:tc>
          <w:tcPr>
            <w:tcW w:type="dxa" w:w="3500"/>
          </w:tcPr>
          <w:p>
            <w:pPr>
              <w:spacing w:after="0"/>
            </w:pPr>
            <w:r>
              <w:rPr>
                <w:rFonts w:ascii="Calibri" w:hAnsi="Calibri"/>
                <w:color w:val="1F2937"/>
                <w:sz w:val="17"/>
              </w:rPr>
              <w:t>City-branded local network, organization onboarding, resident discovery, program visibility, and operational reporting.</w:t>
            </w:r>
          </w:p>
        </w:tc>
        <w:tc>
          <w:tcPr>
            <w:tcW w:type="dxa" w:w="3260"/>
          </w:tcPr>
          <w:p>
            <w:pPr>
              <w:spacing w:after="0"/>
            </w:pPr>
            <w:r>
              <w:rPr>
                <w:rFonts w:ascii="Calibri" w:hAnsi="Calibri"/>
                <w:color w:val="1F2937"/>
                <w:sz w:val="17"/>
              </w:rPr>
              <w:t>Documented nonprofit adoption, implementation plan, accessibility/localization, support capacity, and data stewardship boundaries.</w:t>
            </w:r>
          </w:p>
        </w:tc>
      </w:tr>
      <w:tr>
        <w:trPr>
          <w:cantSplit/>
        </w:trPr>
        <w:tc>
          <w:tcPr>
            <w:tcW w:type="dxa" w:w="2600"/>
          </w:tcPr>
          <w:p>
            <w:pPr>
              <w:spacing w:after="0"/>
            </w:pPr>
            <w:r>
              <w:rPr>
                <w:rFonts w:ascii="Calibri" w:hAnsi="Calibri"/>
                <w:color w:val="1F2937"/>
                <w:sz w:val="17"/>
              </w:rPr>
              <w:t>Outcome and transparency layer</w:t>
            </w:r>
          </w:p>
        </w:tc>
        <w:tc>
          <w:tcPr>
            <w:tcW w:type="dxa" w:w="3500"/>
          </w:tcPr>
          <w:p>
            <w:pPr>
              <w:spacing w:after="0"/>
            </w:pPr>
            <w:r>
              <w:rPr>
                <w:rFonts w:ascii="Calibri" w:hAnsi="Calibri"/>
                <w:color w:val="1F2937"/>
                <w:sz w:val="17"/>
              </w:rPr>
              <w:t>Aggregated city impact reporting, verified local activity, public-safe transparency, and grant/funder reporting support.</w:t>
            </w:r>
          </w:p>
        </w:tc>
        <w:tc>
          <w:tcPr>
            <w:tcW w:type="dxa" w:w="3260"/>
          </w:tcPr>
          <w:p>
            <w:pPr>
              <w:spacing w:after="0"/>
            </w:pPr>
            <w:r>
              <w:rPr>
                <w:rFonts w:ascii="Calibri" w:hAnsi="Calibri"/>
                <w:color w:val="1F2937"/>
                <w:sz w:val="17"/>
              </w:rPr>
              <w:t>Metric definitions, data-quality methodology, privacy review, independent-city data separation, and exportable audit evidence.</w:t>
            </w:r>
          </w:p>
        </w:tc>
      </w:tr>
      <w:tr>
        <w:trPr>
          <w:cantSplit/>
        </w:trPr>
        <w:tc>
          <w:tcPr>
            <w:tcW w:type="dxa" w:w="2600"/>
          </w:tcPr>
          <w:p>
            <w:pPr>
              <w:spacing w:after="0"/>
            </w:pPr>
            <w:r>
              <w:rPr>
                <w:rFonts w:ascii="Calibri" w:hAnsi="Calibri"/>
                <w:color w:val="1F2937"/>
                <w:sz w:val="17"/>
              </w:rPr>
              <w:t>Operator enablement</w:t>
            </w:r>
          </w:p>
        </w:tc>
        <w:tc>
          <w:tcPr>
            <w:tcW w:type="dxa" w:w="3500"/>
          </w:tcPr>
          <w:p>
            <w:pPr>
              <w:spacing w:after="0"/>
            </w:pPr>
            <w:r>
              <w:rPr>
                <w:rFonts w:ascii="Calibri" w:hAnsi="Calibri"/>
                <w:color w:val="1F2937"/>
                <w:sz w:val="17"/>
              </w:rPr>
              <w:t>A trained local operator, organization success playbook, administration console, launch/incident process, and governance cadence.</w:t>
            </w:r>
          </w:p>
        </w:tc>
        <w:tc>
          <w:tcPr>
            <w:tcW w:type="dxa" w:w="3260"/>
          </w:tcPr>
          <w:p>
            <w:pPr>
              <w:spacing w:after="0"/>
            </w:pPr>
            <w:r>
              <w:rPr>
                <w:rFonts w:ascii="Calibri" w:hAnsi="Calibri"/>
                <w:color w:val="1F2937"/>
                <w:sz w:val="17"/>
              </w:rPr>
              <w:t>Role model, city provisioning checklist, training materials, SLA/support plan, and sustainable annual operating budget.</w:t>
            </w:r>
          </w:p>
        </w:tc>
      </w:tr>
      <w:tr>
        <w:trPr>
          <w:cantSplit/>
        </w:trPr>
        <w:tc>
          <w:tcPr>
            <w:tcW w:type="dxa" w:w="2600"/>
          </w:tcPr>
          <w:p>
            <w:pPr>
              <w:spacing w:after="0"/>
            </w:pPr>
            <w:r>
              <w:rPr>
                <w:rFonts w:ascii="Calibri" w:hAnsi="Calibri"/>
                <w:color w:val="1F2937"/>
                <w:sz w:val="17"/>
              </w:rPr>
              <w:t>Optional future credit program</w:t>
            </w:r>
          </w:p>
        </w:tc>
        <w:tc>
          <w:tcPr>
            <w:tcW w:type="dxa" w:w="3500"/>
          </w:tcPr>
          <w:p>
            <w:pPr>
              <w:spacing w:after="0"/>
            </w:pPr>
            <w:r>
              <w:rPr>
                <w:rFonts w:ascii="Calibri" w:hAnsi="Calibri"/>
                <w:color w:val="1F2937"/>
                <w:sz w:val="17"/>
              </w:rPr>
              <w:t>Only after a local policy decision: controlled non-transferable benefit/redemption program.</w:t>
            </w:r>
          </w:p>
        </w:tc>
        <w:tc>
          <w:tcPr>
            <w:tcW w:type="dxa" w:w="3260"/>
          </w:tcPr>
          <w:p>
            <w:pPr>
              <w:spacing w:after="0"/>
            </w:pPr>
            <w:r>
              <w:rPr>
                <w:rFonts w:ascii="Calibri" w:hAnsi="Calibri"/>
                <w:color w:val="1F2937"/>
                <w:sz w:val="17"/>
              </w:rPr>
              <w:t>Separate policy, legal, fiscal, equity, abuse, and communications plan. This is not bundled into the initial procurement.</w:t>
            </w:r>
          </w:p>
        </w:tc>
      </w:tr>
    </w:tbl>
    <w:p/>
    <w:p>
      <w:pPr>
        <w:pStyle w:val="Heading2"/>
      </w:pPr>
      <w:r>
        <w:t>5.1 Municipal sales and procurement path</w:t>
      </w:r>
    </w:p>
    <w:p>
      <w:pPr>
        <w:keepLines/>
        <w:spacing w:after="80" w:line="280" w:lineRule="auto"/>
        <w:ind w:left="720" w:hanging="360"/>
        <w:numPr>
          <w:ilvl w:val="0"/>
          <w:numId w:val="112"/>
        </w:numPr>
      </w:pPr>
      <w:r>
        <w:rPr>
          <w:rFonts w:ascii="Calibri" w:hAnsi="Calibri"/>
          <w:color w:val="1F2937"/>
        </w:rPr>
        <w:t>Start with a local coalition: a sponsoring nonprofit, city department or office, community foundation/fiscal sponsor where helpful, and a named local operating lead.</w:t>
      </w:r>
    </w:p>
    <w:p>
      <w:pPr>
        <w:keepLines/>
        <w:spacing w:after="80" w:line="280" w:lineRule="auto"/>
        <w:ind w:left="720" w:hanging="360"/>
        <w:numPr>
          <w:ilvl w:val="0"/>
          <w:numId w:val="112"/>
        </w:numPr>
      </w:pPr>
      <w:r>
        <w:rPr>
          <w:rFonts w:ascii="Calibri" w:hAnsi="Calibri"/>
          <w:color w:val="1F2937"/>
        </w:rPr>
        <w:t>Run a funded or in-kind discovery period to map existing volunteer systems, language/access needs, procurement constraints, data classification, union/employee boundaries, and priority programs.</w:t>
      </w:r>
    </w:p>
    <w:p>
      <w:pPr>
        <w:keepLines/>
        <w:spacing w:after="80" w:line="280" w:lineRule="auto"/>
        <w:ind w:left="720" w:hanging="360"/>
        <w:numPr>
          <w:ilvl w:val="0"/>
          <w:numId w:val="112"/>
        </w:numPr>
      </w:pPr>
      <w:r>
        <w:rPr>
          <w:rFonts w:ascii="Calibri" w:hAnsi="Calibri"/>
          <w:color w:val="1F2937"/>
        </w:rPr>
        <w:t>Propose a limited pilot with a defined geography, set of organizations, data sharing agreement, implementation plan, outcome dashboard, support model, accessibility plan, and exit plan.</w:t>
      </w:r>
    </w:p>
    <w:p>
      <w:pPr>
        <w:keepLines/>
        <w:spacing w:after="80" w:line="280" w:lineRule="auto"/>
        <w:ind w:left="720" w:hanging="360"/>
        <w:numPr>
          <w:ilvl w:val="0"/>
          <w:numId w:val="112"/>
        </w:numPr>
      </w:pPr>
      <w:r>
        <w:rPr>
          <w:rFonts w:ascii="Calibri" w:hAnsi="Calibri"/>
          <w:color w:val="1F2937"/>
        </w:rPr>
        <w:t>Use pilot evidence to pursue a recurring annual contract or budget line: software, implementation, local operator, support, reporting, and privacy/security review.</w:t>
      </w:r>
    </w:p>
    <w:p>
      <w:pPr>
        <w:keepLines/>
        <w:spacing w:after="80" w:line="280" w:lineRule="auto"/>
        <w:ind w:left="720" w:hanging="360"/>
        <w:numPr>
          <w:ilvl w:val="0"/>
          <w:numId w:val="112"/>
        </w:numPr>
      </w:pPr>
      <w:r>
        <w:rPr>
          <w:rFonts w:ascii="Calibri" w:hAnsi="Calibri"/>
          <w:color w:val="1F2937"/>
        </w:rPr>
        <w:t>Keep any future credit/redemption program as an optional, separately approved scope with separate legal/fiscal controls.</w:t>
      </w:r>
    </w:p>
    <w:p>
      <w:pPr>
        <w:pStyle w:val="Heading2"/>
      </w:pPr>
      <w:r>
        <w:t>5.2 Municipal credibility materials</w:t>
      </w:r>
    </w:p>
    <w:p>
      <w:pPr>
        <w:spacing w:after="120"/>
      </w:pPr>
      <w:r>
        <w:rPr>
          <w:rFonts w:ascii="Calibri" w:hAnsi="Calibri"/>
          <w:color w:val="1F2937"/>
        </w:rPr>
        <w:t>Prepare a procurement-ready packet: security overview; privacy/data-processing terms; accessibility statement; records retention; incident response; insurance/security posture; uptime/support commitments; subcontractor list; independent city data-boundary description; implementation schedule; training plan; evaluation plan; financial model; and references from live organizations.</w:t>
      </w:r>
    </w:p>
    <w:p>
      <w:pPr>
        <w:pStyle w:val="Heading1"/>
      </w:pPr>
      <w:r>
        <w:t>6. Integrated fundraising operating system</w:t>
      </w:r>
    </w:p>
    <w:p>
      <w:pPr>
        <w:pStyle w:val="Heading2"/>
      </w:pPr>
      <w:r>
        <w:t>6.1 Portfolio logic</w:t>
      </w:r>
    </w:p>
    <w:p>
      <w:pPr>
        <w:spacing w:after="120"/>
      </w:pPr>
      <w:r>
        <w:rPr>
          <w:rFonts w:ascii="Calibri" w:hAnsi="Calibri"/>
          <w:color w:val="1F2937"/>
        </w:rPr>
        <w:t>Grant money funds public-good risk and evidence. Donation fees and subscriptions prove organization-level willingness to pay. Municipal contracts fund durable local implementation and operating capacity. Arbitrum/protocol funding supports open, auditable infrastructure only when adoption makes it relevant. No one source should be required to fund every layer.</w:t>
      </w:r>
    </w:p>
    <w:p>
      <w:pPr>
        <w:pStyle w:val="Heading2"/>
      </w:pPr>
      <w:r>
        <w:t>6.2 Ninety-day operating plan</w:t>
      </w:r>
    </w:p>
    <w:p>
      <w:pPr>
        <w:keepLines/>
        <w:spacing w:after="80" w:line="280" w:lineRule="auto"/>
        <w:ind w:left="720" w:hanging="360"/>
        <w:numPr>
          <w:ilvl w:val="0"/>
          <w:numId w:val="113"/>
        </w:numPr>
      </w:pPr>
      <w:r>
        <w:rPr>
          <w:rFonts w:ascii="Calibri" w:hAnsi="Calibri"/>
          <w:color w:val="1F2937"/>
        </w:rPr>
        <w:t>Create the standard evidence pack: organization adoption metrics, volunteer workflow metrics, city architecture diagram, privacy position, budget categories, and 2–3 design-partner case studies.</w:t>
      </w:r>
    </w:p>
    <w:p>
      <w:pPr>
        <w:keepLines/>
        <w:spacing w:after="80" w:line="280" w:lineRule="auto"/>
        <w:ind w:left="720" w:hanging="360"/>
        <w:numPr>
          <w:ilvl w:val="0"/>
          <w:numId w:val="113"/>
        </w:numPr>
      </w:pPr>
      <w:r>
        <w:rPr>
          <w:rFonts w:ascii="Calibri" w:hAnsi="Calibri"/>
          <w:color w:val="1F2937"/>
        </w:rPr>
        <w:t>Establish a grant/funder CRM with decision windows, owner, fit score, likely amount, reporting terms, and relationship history.</w:t>
      </w:r>
    </w:p>
    <w:p>
      <w:pPr>
        <w:keepLines/>
        <w:spacing w:after="80" w:line="280" w:lineRule="auto"/>
        <w:ind w:left="720" w:hanging="360"/>
        <w:numPr>
          <w:ilvl w:val="0"/>
          <w:numId w:val="113"/>
        </w:numPr>
      </w:pPr>
      <w:r>
        <w:rPr>
          <w:rFonts w:ascii="Calibri" w:hAnsi="Calibri"/>
          <w:color w:val="1F2937"/>
        </w:rPr>
        <w:t>Select a payment/donation partner and commission the legal/financial design review before building a fee flow.</w:t>
      </w:r>
    </w:p>
    <w:p>
      <w:pPr>
        <w:keepLines/>
        <w:spacing w:after="80" w:line="280" w:lineRule="auto"/>
        <w:ind w:left="720" w:hanging="360"/>
        <w:numPr>
          <w:ilvl w:val="0"/>
          <w:numId w:val="113"/>
        </w:numPr>
      </w:pPr>
      <w:r>
        <w:rPr>
          <w:rFonts w:ascii="Calibri" w:hAnsi="Calibri"/>
          <w:color w:val="1F2937"/>
        </w:rPr>
        <w:t>Draft a municipal one-pager and pilot scope; interview two prospective city partners about procurement and local operating ownership.</w:t>
      </w:r>
    </w:p>
    <w:p>
      <w:pPr>
        <w:keepLines/>
        <w:spacing w:after="80" w:line="280" w:lineRule="auto"/>
        <w:ind w:left="720" w:hanging="360"/>
        <w:numPr>
          <w:ilvl w:val="0"/>
          <w:numId w:val="113"/>
        </w:numPr>
      </w:pPr>
      <w:r>
        <w:rPr>
          <w:rFonts w:ascii="Calibri" w:hAnsi="Calibri"/>
          <w:color w:val="1F2937"/>
        </w:rPr>
        <w:t>Publish the L3 feasibility brief, not a token plan: event integrity, privacy boundaries, testnet deliverables, operator model, and gas-sponsorship controls.</w:t>
      </w:r>
    </w:p>
    <w:p>
      <w:pPr>
        <w:keepLines/>
        <w:spacing w:after="80" w:line="280" w:lineRule="auto"/>
        <w:ind w:left="720" w:hanging="360"/>
        <w:numPr>
          <w:ilvl w:val="0"/>
          <w:numId w:val="113"/>
        </w:numPr>
      </w:pPr>
      <w:r>
        <w:rPr>
          <w:rFonts w:ascii="Calibri" w:hAnsi="Calibri"/>
          <w:color w:val="1F2937"/>
        </w:rPr>
        <w:t>Establish finance controls for restricted funds, donation reconciliation, vendor approvals, multi-sig/treasury policy for any on-chain work, and monthly board reporting.</w:t>
      </w:r>
    </w:p>
    <w:p>
      <w:pPr>
        <w:pStyle w:val="Heading2"/>
      </w:pPr>
      <w:r>
        <w:t>6.3 Funding governance and red lines</w:t>
      </w:r>
    </w:p>
    <w:p>
      <w:pPr>
        <w:keepLines/>
        <w:spacing w:after="80" w:line="280" w:lineRule="auto"/>
        <w:ind w:left="720" w:hanging="360"/>
      </w:pPr>
      <w:r>
        <w:rPr>
          <w:rFonts w:ascii="Calibri" w:hAnsi="Calibri"/>
          <w:color w:val="1F2937"/>
        </w:rPr>
        <w:t>•  Do not accept funding that requires exploitative data use, coercive volunteer participation, or a proprietary lock-in that contradicts portability and city independence.</w:t>
      </w:r>
    </w:p>
    <w:p>
      <w:pPr>
        <w:keepLines/>
        <w:spacing w:after="80" w:line="280" w:lineRule="auto"/>
        <w:ind w:left="720" w:hanging="360"/>
      </w:pPr>
      <w:r>
        <w:rPr>
          <w:rFonts w:ascii="Calibri" w:hAnsi="Calibri"/>
          <w:color w:val="1F2937"/>
        </w:rPr>
        <w:t>•  Do not use donor funds to mask payment processing or platform fees.</w:t>
      </w:r>
    </w:p>
    <w:p>
      <w:pPr>
        <w:keepLines/>
        <w:spacing w:after="80" w:line="280" w:lineRule="auto"/>
        <w:ind w:left="720" w:hanging="360"/>
      </w:pPr>
      <w:r>
        <w:rPr>
          <w:rFonts w:ascii="Calibri" w:hAnsi="Calibri"/>
          <w:color w:val="1F2937"/>
        </w:rPr>
        <w:t>•  Do not market civic credits as investment, cash, universal currency, or a reward with a value that has not been authorized and funded.</w:t>
      </w:r>
    </w:p>
    <w:p>
      <w:pPr>
        <w:keepLines/>
        <w:spacing w:after="80" w:line="280" w:lineRule="auto"/>
        <w:ind w:left="720" w:hanging="360"/>
      </w:pPr>
      <w:r>
        <w:rPr>
          <w:rFonts w:ascii="Calibri" w:hAnsi="Calibri"/>
          <w:color w:val="1F2937"/>
        </w:rPr>
        <w:t>•  Do not treat an ecosystem grant as authorization to deploy unaudited contracts or make a city’s participation permanent.</w:t>
      </w:r>
    </w:p>
    <w:p>
      <w:pPr>
        <w:keepLines/>
        <w:spacing w:after="80" w:line="280" w:lineRule="auto"/>
        <w:ind w:left="720" w:hanging="360"/>
      </w:pPr>
      <w:r>
        <w:rPr>
          <w:rFonts w:ascii="Calibri" w:hAnsi="Calibri"/>
          <w:color w:val="1F2937"/>
        </w:rPr>
        <w:t>•  Every material funding source receives a written outcome/reporting plan and a named internal owner.</w:t>
      </w:r>
    </w:p>
    <w:p>
      <w:pPr>
        <w:pStyle w:val="Heading1"/>
      </w:pPr>
      <w:r>
        <w:t>7. Source and planning notes</w:t>
      </w:r>
    </w:p>
    <w:p>
      <w:pPr>
        <w:keepLines/>
        <w:spacing w:after="80" w:line="280" w:lineRule="auto"/>
        <w:ind w:left="720" w:hanging="360"/>
      </w:pPr>
      <w:r>
        <w:rPr>
          <w:rFonts w:ascii="Calibri" w:hAnsi="Calibri"/>
          <w:color w:val="1F2937"/>
        </w:rPr>
        <w:t>•  [S2] Stripe, “Platform pricing tools,” https://docs.stripe.com/connect/platform-pricing-tools (accessed July 2026).</w:t>
      </w:r>
    </w:p>
    <w:p>
      <w:pPr>
        <w:keepLines/>
        <w:spacing w:after="80" w:line="280" w:lineRule="auto"/>
        <w:ind w:left="720" w:hanging="360"/>
      </w:pPr>
      <w:r>
        <w:rPr>
          <w:rFonts w:ascii="Calibri" w:hAnsi="Calibri"/>
          <w:color w:val="1F2937"/>
        </w:rPr>
        <w:t>•  [S3] Arbitrum Documentation, “Get started with Arbitrum,” https://docs.arbitrum.io/ (accessed July 2026).</w:t>
      </w:r>
    </w:p>
    <w:p>
      <w:pPr>
        <w:keepLines/>
        <w:spacing w:after="80" w:line="280" w:lineRule="auto"/>
        <w:ind w:left="720" w:hanging="360"/>
      </w:pPr>
      <w:r>
        <w:rPr>
          <w:rFonts w:ascii="Calibri" w:hAnsi="Calibri"/>
          <w:color w:val="1F2937"/>
        </w:rPr>
        <w:t>•  [S4] Offchain Labs, “Arbitrum Nitro: A Second-Generation Optimistic Rollup,” https://docs.arbitrum.io/nitro-whitepaper.pdf (accessed July 2026).</w:t>
      </w:r>
    </w:p>
    <w:p>
      <w:pPr>
        <w:keepLines/>
        <w:spacing w:after="80" w:line="280" w:lineRule="auto"/>
        <w:ind w:left="720" w:hanging="360"/>
      </w:pPr>
      <w:r>
        <w:rPr>
          <w:rFonts w:ascii="Calibri" w:hAnsi="Calibri"/>
          <w:color w:val="1F2937"/>
        </w:rPr>
        <w:t>•  [S5] Arbitrum DAO, “Grant Program Season 3 — Official thread,” https://forum.arbitrum.foundation/t/arbitrum-d-a-o-grant-program-season-3-official-thread/28753 (accessed July 2026; verify program status before relying on it).</w:t>
      </w:r>
    </w:p>
    <w:p>
      <w:pPr>
        <w:keepLines/>
        <w:spacing w:after="80" w:line="280" w:lineRule="auto"/>
        <w:ind w:left="720" w:hanging="360"/>
      </w:pPr>
      <w:r>
        <w:rPr>
          <w:rFonts w:ascii="Calibri" w:hAnsi="Calibri"/>
          <w:color w:val="1F2937"/>
        </w:rPr>
        <w:t>•  [S6] Arbitrum OpCo, “2nd Bi-annual Transparency Report — May 2026,” https://forum.arbitrum.foundation/t/opco-oat-2nd-bi-annual-transparency-report-may-2026/30924 (accessed July 2026).</w:t>
      </w:r>
    </w:p>
    <w:p>
      <w:pPr>
        <w:spacing w:after="120"/>
      </w:pPr>
      <w:r>
        <w:rPr>
          <w:rFonts w:ascii="Calibri" w:hAnsi="Calibri"/>
          <w:color w:val="1F2937"/>
        </w:rPr>
        <w:t>This document is a fundraising strategy, not legal, tax, charitable-solicitation, securities, payments, procurement, or investment advice. Engage qualified advisers before accepting funds, charging fees, or executing municipal contracts.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Planning draft • July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B2545"/>
        <w:sz w:val="17"/>
      </w:rPr>
      <w:t xml:space="preserve">CITY/SYNC  |  </w:t>
    </w:r>
    <w:r>
      <w:rPr>
        <w:rFonts w:ascii="Calibri" w:hAnsi="Calibri"/>
        <w:color w:val="667085"/>
        <w:sz w:val="17"/>
      </w:rPr>
      <w:t>FUNDRAISING PATHWAYS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9">
    <w:abstractNumId w:val="9"/>
  </w:num>
  <w:abstractNum w:abstractNumId="10">
    <w:multiLevelType w:val="singleLevel"/>
    <w:lvl w:ilvl="0">
      <w:start w:val="1"/>
      <w:numFmt w:val="decimal"/>
      <w:lvlText w:val="%1."/>
      <w:lvlJc w:val="left"/>
      <w:pPr>
        <w:ind w:left="720" w:hanging="360"/>
      </w:pPr>
    </w:lvl>
  </w:abstractNum>
  <w:num w:numId="110">
    <w:abstractNumId w:val="10"/>
  </w:num>
  <w:abstractNum w:abstractNumId="11">
    <w:multiLevelType w:val="singleLevel"/>
    <w:lvl w:ilvl="0">
      <w:start w:val="1"/>
      <w:numFmt w:val="decimal"/>
      <w:lvlText w:val="%1."/>
      <w:lvlJc w:val="left"/>
      <w:pPr>
        <w:ind w:left="720" w:hanging="360"/>
      </w:pPr>
    </w:lvl>
  </w:abstractNum>
  <w:num w:numId="111">
    <w:abstractNumId w:val="11"/>
  </w:num>
  <w:abstractNum w:abstractNumId="12">
    <w:multiLevelType w:val="singleLevel"/>
    <w:lvl w:ilvl="0">
      <w:start w:val="1"/>
      <w:numFmt w:val="decimal"/>
      <w:lvlText w:val="%1."/>
      <w:lvlJc w:val="left"/>
      <w:pPr>
        <w:ind w:left="720" w:hanging="360"/>
      </w:pPr>
    </w:lvl>
  </w:abstractNum>
  <w:num w:numId="112">
    <w:abstractNumId w:val="12"/>
  </w:num>
  <w:abstractNum w:abstractNumId="13">
    <w:multiLevelType w:val="singleLevel"/>
    <w:lvl w:ilvl="0">
      <w:start w:val="1"/>
      <w:numFmt w:val="decimal"/>
      <w:lvlText w:val="%1."/>
      <w:lvlJc w:val="left"/>
      <w:pPr>
        <w:ind w:left="720" w:hanging="360"/>
      </w:pPr>
    </w:lvl>
  </w:abstractNum>
  <w:num w:numId="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STitle">
    <w:name w:val="CS Title"/>
    <w:pPr>
      <w:spacing w:before="0" w:after="100"/>
    </w:pPr>
    <w:rPr>
      <w:rFonts w:ascii="Calibri" w:hAnsi="Calibri"/>
      <w:b/>
      <w:color w:val="0B2545"/>
      <w:sz w:val="50"/>
    </w:rPr>
  </w:style>
  <w:style w:type="paragraph" w:customStyle="1" w:styleId="CSSubtitle">
    <w:name w:val="CS Subtitle"/>
    <w:pPr>
      <w:spacing w:after="320"/>
    </w:pPr>
    <w:rPr>
      <w:rFonts w:ascii="Calibri" w:hAnsi="Calibri"/>
      <w:color w:val="66708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CitySync Fundraising Pathways</dc:title>
  <dc:subject>Planning roadmap</dc:subject>
  <dc:creator>City/Sync</dc:creator>
  <cp:keywords/>
  <dc:description>Planning draft</dc:description>
  <cp:lastModifiedBy/>
  <cp:revision>1</cp:revision>
  <dcterms:created xsi:type="dcterms:W3CDTF">2013-12-23T23:15:00Z</dcterms:created>
  <dcterms:modified xsi:type="dcterms:W3CDTF">2013-12-23T23:15:00Z</dcterms:modified>
  <cp:category/>
</cp:coreProperties>
</file>