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CSTitle"/>
      </w:pPr>
      <w:r>
        <w:t>City/Sync L3 &amp; Local Chain Architecture Roadmap</w:t>
      </w:r>
    </w:p>
    <w:p>
      <w:pPr>
        <w:pStyle w:val="CSSubtitle"/>
      </w:pPr>
      <w:r>
        <w:t>A staged technical path from independent city ledgers to privacy-preserving public proof, an Arbitrum-aligned L3, and locally operated city execution domains.</w:t>
      </w:r>
    </w:p>
    <w:tbl>
      <w:tblPr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1875"/>
        <w:gridCol w:w="7485"/>
      </w:tblGrid>
      <w:tr>
        <w:tc>
          <w:tcPr>
            <w:tcW w:type="dxa" w:w="187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 w:val="clea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8"/>
              </w:rPr>
              <w:t>Document</w:t>
            </w:r>
          </w:p>
        </w:tc>
        <w:tc>
          <w:tcPr>
            <w:tcW w:type="dxa" w:w="748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 w:val="clear"/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18"/>
              </w:rPr>
              <w:t>Long-range architecture and protocol roadmap</w:t>
            </w:r>
          </w:p>
        </w:tc>
      </w:tr>
      <w:tr>
        <w:tc>
          <w:tcPr>
            <w:tcW w:type="dxa" w:w="187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 w:val="clea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8"/>
              </w:rPr>
              <w:t>Date / Status</w:t>
            </w:r>
          </w:p>
        </w:tc>
        <w:tc>
          <w:tcPr>
            <w:tcW w:type="dxa" w:w="748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 w:val="clear"/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18"/>
              </w:rPr>
              <w:t>July 14, 2026  |  Working roadmap • Decision-oriented draft</w:t>
            </w:r>
          </w:p>
        </w:tc>
      </w:tr>
    </w:tbl>
    <w:p/>
    <w:tbl>
      <w:tblPr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F1F6" w:val="clea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8"/>
              </w:rPr>
              <w:t xml:space="preserve">ARCHITECTURE DECISION  </w:t>
            </w:r>
            <w:r>
              <w:rPr>
                <w:rFonts w:ascii="Calibri" w:hAnsi="Calibri"/>
                <w:color w:val="0B2545"/>
                <w:sz w:val="21"/>
              </w:rPr>
              <w:t>City/Sync should keep its existing independent city databases as the source of operational truth during the nonprofit-first phase. The L3/local-chain path is a staged proof and settlement program that begins only after the off-chain model is verifiable, governed, and useful.</w:t>
            </w:r>
          </w:p>
        </w:tc>
      </w:tr>
    </w:tbl>
    <w:p/>
    <w:p>
      <w:pPr>
        <w:pStyle w:val="Heading1"/>
      </w:pPr>
      <w:r>
        <w:t>1. Purpose and boundary</w:t>
      </w:r>
    </w:p>
    <w:p>
      <w:pPr>
        <w:spacing w:after="120"/>
      </w:pPr>
      <w:r>
        <w:rPr>
          <w:rFonts w:ascii="Calibri" w:hAnsi="Calibri"/>
          <w:color w:val="1F2937"/>
        </w:rPr>
        <w:t>This document describes the long-range architecture for a City/Sync L3 with city-local execution domains and local node operators. It is intentionally conservative. The design must preserve the platform’s core promise: a city can operate independently, a person can participate without exposing unnecessary identity data, organizations can run ordinary volunteer programs without wallets, and a public proof layer can verify commitments without publishing private operational records.</w:t>
      </w:r>
    </w:p>
    <w:p>
      <w:pPr>
        <w:spacing w:after="120"/>
      </w:pPr>
      <w:r>
        <w:rPr>
          <w:rFonts w:ascii="Calibri" w:hAnsi="Calibri"/>
          <w:color w:val="1F2937"/>
        </w:rPr>
        <w:t>The end-state wording matters. If City/Sync launches an Arbitrum Orbit L3, then a city-specific chain that settles to it is conceptually a child execution domain—often described as an L4-like layer—not a second unrelated “L3.” The name can be product-led (“City Chain”), but the parent/child settlement relationship must remain exact in technical and governance documents.</w:t>
      </w:r>
    </w:p>
    <w:p>
      <w:pPr>
        <w:pStyle w:val="Heading2"/>
      </w:pPr>
      <w:r>
        <w:t>1.1 Current starting point</w:t>
      </w:r>
    </w:p>
    <w:p>
      <w:pPr>
        <w:spacing w:after="120"/>
      </w:pPr>
      <w:r>
        <w:rPr>
          <w:rFonts w:ascii="Calibri" w:hAnsi="Calibri"/>
          <w:color w:val="1F2937"/>
        </w:rPr>
        <w:t>The current application already establishes the correct early boundary: a central control database for identities, organization/city registry, and authority; plus a separate city database for local wallets, credit entries, events, and anchors. A city database is physically independent, and the event chain includes sequence, event ID, payload, actor, timestamp, previous hash, and hash. That architecture supports immediate local operational integrity without requiring on-chain writes.</w:t>
      </w:r>
    </w:p>
    <w:p>
      <w:pPr>
        <w:spacing w:after="120"/>
      </w:pPr>
      <w:r>
        <w:rPr>
          <w:rFonts w:ascii="Calibri" w:hAnsi="Calibri"/>
          <w:color w:val="1F2937"/>
        </w:rPr>
        <w:t>Arbitrum documentation describes configurable dedicated chains and Ethereum-compatible Nitro execution [S1][S2]. Turso/libSQL documentation supports the current SQLite-compatible, independently provisioned database direction [S3]. These are inputs to a staged design—not a reason to skip product, policy, or security work.</w:t>
      </w:r>
    </w:p>
    <w:p>
      <w:pPr>
        <w:spacing w:before="80" w:after="80"/>
      </w:pPr>
      <w:r>
        <w:rPr>
          <w:rFonts w:ascii="Calibri" w:hAnsi="Calibri"/>
          <w:i/>
          <w:color w:val="667085"/>
          <w:sz w:val="18"/>
        </w:rPr>
        <w:t>Table 1. Target architecture separates local operations from shared settlement and public proof.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1800"/>
        <w:gridCol w:w="3700"/>
        <w:gridCol w:w="3860"/>
      </w:tblGrid>
      <w:tr>
        <w:trPr>
          <w:tblHeader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 w:val="clea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7"/>
              </w:rPr>
              <w:t>Layer</w:t>
            </w:r>
          </w:p>
        </w:tc>
        <w:tc>
          <w:tcPr>
            <w:tcW w:type="dxa" w:w="3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 w:val="clea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7"/>
              </w:rPr>
              <w:t>Purpose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 w:val="clea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7"/>
              </w:rPr>
              <w:t>Data / responsibility boundary</w:t>
            </w:r>
          </w:p>
        </w:tc>
      </w:tr>
      <w:tr>
        <w:trPr>
          <w:cantSplit/>
        </w:trPr>
        <w:tc>
          <w:tcPr>
            <w:tcW w:type="dxa" w:w="1800"/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7"/>
              </w:rPr>
              <w:t>Application / control plane</w:t>
            </w:r>
          </w:p>
        </w:tc>
        <w:tc>
          <w:tcPr>
            <w:tcW w:type="dxa" w:w="3700"/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7"/>
              </w:rPr>
              <w:t>Identity, organizations, delegated authority, city registry, product configuration, policy metadata, and user experience.</w:t>
            </w:r>
          </w:p>
        </w:tc>
        <w:tc>
          <w:tcPr>
            <w:tcW w:type="dxa" w:w="3860"/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7"/>
              </w:rPr>
              <w:t>Central application service. It stores only the shared control-plane facts needed to route a request and enforce authority.</w:t>
            </w:r>
          </w:p>
        </w:tc>
      </w:tr>
      <w:tr>
        <w:trPr>
          <w:cantSplit/>
        </w:trPr>
        <w:tc>
          <w:tcPr>
            <w:tcW w:type="dxa" w:w="1800"/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7"/>
              </w:rPr>
              <w:t>City operational domain</w:t>
            </w:r>
          </w:p>
        </w:tc>
        <w:tc>
          <w:tcPr>
            <w:tcW w:type="dxa" w:w="3700"/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7"/>
              </w:rPr>
              <w:t>A city’s organizations, opportunities, participation, waivers, local moderation, and operational reporting.</w:t>
            </w:r>
          </w:p>
        </w:tc>
        <w:tc>
          <w:tcPr>
            <w:tcW w:type="dxa" w:w="3860"/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7"/>
              </w:rPr>
              <w:t>Independent city database/service boundary. City-local access and retention rules apply; no “global city table” is used as a shortcut.</w:t>
            </w:r>
          </w:p>
        </w:tc>
      </w:tr>
      <w:tr>
        <w:trPr>
          <w:cantSplit/>
        </w:trPr>
        <w:tc>
          <w:tcPr>
            <w:tcW w:type="dxa" w:w="1800"/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7"/>
              </w:rPr>
              <w:t>City private ledger</w:t>
            </w:r>
          </w:p>
        </w:tc>
        <w:tc>
          <w:tcPr>
            <w:tcW w:type="dxa" w:w="3700"/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7"/>
              </w:rPr>
              <w:t>Canonical city events, credit entries when enabled, local reconciliation, hash chain, and anchor jobs.</w:t>
            </w:r>
          </w:p>
        </w:tc>
        <w:tc>
          <w:tcPr>
            <w:tcW w:type="dxa" w:w="3860"/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7"/>
              </w:rPr>
              <w:t>Independent SQLite/libSQL-compatible database per city. No raw personal data is placed into public proofs.</w:t>
            </w:r>
          </w:p>
        </w:tc>
      </w:tr>
      <w:tr>
        <w:trPr>
          <w:cantSplit/>
        </w:trPr>
        <w:tc>
          <w:tcPr>
            <w:tcW w:type="dxa" w:w="1800"/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7"/>
              </w:rPr>
              <w:t>City/Sync L3</w:t>
            </w:r>
          </w:p>
        </w:tc>
        <w:tc>
          <w:tcPr>
            <w:tcW w:type="dxa" w:w="3700"/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7"/>
              </w:rPr>
              <w:t>Shared settlement/registry layer for approved city commitments, policy versions, anchor roots, and later controlled credit state.</w:t>
            </w:r>
          </w:p>
        </w:tc>
        <w:tc>
          <w:tcPr>
            <w:tcW w:type="dxa" w:w="3860"/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7"/>
              </w:rPr>
              <w:t>A future Arbitrum Orbit chain settling to an Arbitrum parent chain. It is not required for initial nonprofit operation.</w:t>
            </w:r>
          </w:p>
        </w:tc>
      </w:tr>
      <w:tr>
        <w:trPr>
          <w:cantSplit/>
        </w:trPr>
        <w:tc>
          <w:tcPr>
            <w:tcW w:type="dxa" w:w="1800"/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7"/>
              </w:rPr>
              <w:t>City execution domains</w:t>
            </w:r>
          </w:p>
        </w:tc>
        <w:tc>
          <w:tcPr>
            <w:tcW w:type="dxa" w:w="3700"/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7"/>
              </w:rPr>
              <w:t>Optional local chain or permissioned execution environment run by local operators when a city has justified volume/governance needs.</w:t>
            </w:r>
          </w:p>
        </w:tc>
        <w:tc>
          <w:tcPr>
            <w:tcW w:type="dxa" w:w="3860"/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7"/>
              </w:rPr>
              <w:t>These are effectively child execution domains (often described as an L4-like layer if City/Sync is the L3). They settle commitments to City/Sync L3, not directly into another city.</w:t>
            </w:r>
          </w:p>
        </w:tc>
      </w:tr>
    </w:tbl>
    <w:p/>
    <w:p>
      <w:pPr>
        <w:pStyle w:val="Heading1"/>
      </w:pPr>
      <w:r>
        <w:t>2. Design invariants</w:t>
      </w:r>
    </w:p>
    <w:p>
      <w:pPr>
        <w:keepLines/>
        <w:spacing w:after="80" w:line="280" w:lineRule="auto"/>
        <w:ind w:left="720" w:hanging="360"/>
      </w:pPr>
      <w:r>
        <w:rPr>
          <w:rFonts w:ascii="Calibri" w:hAnsi="Calibri"/>
          <w:color w:val="1F2937"/>
        </w:rPr>
        <w:t>•  No raw PII on a public chain: names, emails, waivers, screening reports, client/service records, precise locations, private messages, and unredacted evidence remain off-chain.</w:t>
      </w:r>
    </w:p>
    <w:p>
      <w:pPr>
        <w:keepLines/>
        <w:spacing w:after="80" w:line="280" w:lineRule="auto"/>
        <w:ind w:left="720" w:hanging="360"/>
      </w:pPr>
      <w:r>
        <w:rPr>
          <w:rFonts w:ascii="Calibri" w:hAnsi="Calibri"/>
          <w:color w:val="1F2937"/>
        </w:rPr>
        <w:t>•  Explicit city sovereignty: each city has its own ledger/event namespace, policy history, operational owners, keys/roles, retention rules, and export/restore process.</w:t>
      </w:r>
    </w:p>
    <w:p>
      <w:pPr>
        <w:keepLines/>
        <w:spacing w:after="80" w:line="280" w:lineRule="auto"/>
        <w:ind w:left="720" w:hanging="360"/>
      </w:pPr>
      <w:r>
        <w:rPr>
          <w:rFonts w:ascii="Calibri" w:hAnsi="Calibri"/>
          <w:color w:val="1F2937"/>
        </w:rPr>
        <w:t>•  Verifiability without forced custody: a participant can view proof and receive a service record without holding a cryptocurrency wallet or paying gas.</w:t>
      </w:r>
    </w:p>
    <w:p>
      <w:pPr>
        <w:keepLines/>
        <w:spacing w:after="80" w:line="280" w:lineRule="auto"/>
        <w:ind w:left="720" w:hanging="360"/>
      </w:pPr>
      <w:r>
        <w:rPr>
          <w:rFonts w:ascii="Calibri" w:hAnsi="Calibri"/>
          <w:color w:val="1F2937"/>
        </w:rPr>
        <w:t>•  Deterministic replay: every committed event range must have a canonical serialization, versioned policy reference, stable event ID, hash specification, and reproducible proof bundle.</w:t>
      </w:r>
    </w:p>
    <w:p>
      <w:pPr>
        <w:keepLines/>
        <w:spacing w:after="80" w:line="280" w:lineRule="auto"/>
        <w:ind w:left="720" w:hanging="360"/>
      </w:pPr>
      <w:r>
        <w:rPr>
          <w:rFonts w:ascii="Calibri" w:hAnsi="Calibri"/>
          <w:color w:val="1F2937"/>
        </w:rPr>
        <w:t>•  Least authority: City/Sync platform administration, city operations, organization administration, contract governance, and emergency response are separate roles with explicit scope.</w:t>
      </w:r>
    </w:p>
    <w:p>
      <w:pPr>
        <w:keepLines/>
        <w:spacing w:after="80" w:line="280" w:lineRule="auto"/>
        <w:ind w:left="720" w:hanging="360"/>
      </w:pPr>
      <w:r>
        <w:rPr>
          <w:rFonts w:ascii="Calibri" w:hAnsi="Calibri"/>
          <w:color w:val="1F2937"/>
        </w:rPr>
        <w:t>•  Graceful fallback: if a node, relay, chain, or availability layer is unavailable, the local operational system can record a pending event and reconcile safely; it must never silently create duplicate issuance or erase a completed contribution.</w:t>
      </w:r>
    </w:p>
    <w:p>
      <w:pPr>
        <w:keepLines/>
        <w:spacing w:after="80" w:line="280" w:lineRule="auto"/>
        <w:ind w:left="720" w:hanging="360"/>
      </w:pPr>
      <w:r>
        <w:rPr>
          <w:rFonts w:ascii="Calibri" w:hAnsi="Calibri"/>
          <w:color w:val="1F2937"/>
        </w:rPr>
        <w:t>•  No token-first economics: smart contracts can begin as commitments/registries. A transferable asset is not implied by an append-only ledger.</w:t>
      </w:r>
    </w:p>
    <w:p>
      <w:pPr>
        <w:pStyle w:val="Heading1"/>
      </w:pPr>
      <w:r>
        <w:t>3. Event, hash, and replay model</w:t>
      </w:r>
    </w:p>
    <w:p>
      <w:pPr>
        <w:pStyle w:val="Heading2"/>
      </w:pPr>
      <w:r>
        <w:t>3.1 Canonical city event envelope</w:t>
      </w:r>
    </w:p>
    <w:p>
      <w:pPr>
        <w:spacing w:after="120"/>
      </w:pPr>
      <w:r>
        <w:rPr>
          <w:rFonts w:ascii="Calibri" w:hAnsi="Calibri"/>
          <w:color w:val="1F2937"/>
        </w:rPr>
        <w:t>Every city event eligible for anchoring should be transformed into a canonical, privacy-safe envelope before hashing. Suggested fields: schema version; city ID; event ID; monotonic city sequence; event type; effective timestamp; actor authority ID or pseudonymous key reference; policy/version IDs; object references; previous event hash; payload hash; and redaction class. The private payload remains in the city domain; the public-safe envelope contains only cryptographic references and approved non-sensitive metadata.</w:t>
      </w:r>
    </w:p>
    <w:p>
      <w:pPr>
        <w:pStyle w:val="Heading2"/>
      </w:pPr>
      <w:r>
        <w:t>3.2 Hash compatibility and replay</w:t>
      </w:r>
    </w:p>
    <w:p>
      <w:pPr>
        <w:spacing w:after="120"/>
      </w:pPr>
      <w:r>
        <w:rPr>
          <w:rFonts w:ascii="Calibri" w:hAnsi="Calibri"/>
          <w:color w:val="1F2937"/>
        </w:rPr>
        <w:t>The existing application can use SHA-256 event hashes and Merkle roots as its internal canonical record. EVM ecosystems commonly use keccak256. Do not quietly substitute one for the other. Adopt a dual-hash or explicit mapping standard: retain the original SHA-256 event hash; define the byte serialization; compute an EVM-compatible commitment hash over the same canonical envelope; and record both with the hash/version identifier. A contract can store a SHA-256 digest as bytes32, but proof/replay tools must state exactly which hash and preimage they verify.</w:t>
      </w:r>
    </w:p>
    <w:p>
      <w:pPr>
        <w:pStyle w:val="Heading2"/>
      </w:pPr>
      <w:r>
        <w:t>3.3 Finality categories</w:t>
      </w:r>
    </w:p>
    <w:p>
      <w:pPr>
        <w:keepLines/>
        <w:spacing w:after="80" w:line="280" w:lineRule="auto"/>
        <w:ind w:left="720" w:hanging="360"/>
      </w:pPr>
      <w:r>
        <w:rPr>
          <w:rFonts w:ascii="Calibri" w:hAnsi="Calibri"/>
          <w:color w:val="1F2937"/>
        </w:rPr>
        <w:t>•  Operationally recorded: accepted by the city application and included in the local event chain.</w:t>
      </w:r>
    </w:p>
    <w:p>
      <w:pPr>
        <w:keepLines/>
        <w:spacing w:after="80" w:line="280" w:lineRule="auto"/>
        <w:ind w:left="720" w:hanging="360"/>
      </w:pPr>
      <w:r>
        <w:rPr>
          <w:rFonts w:ascii="Calibri" w:hAnsi="Calibri"/>
          <w:color w:val="1F2937"/>
        </w:rPr>
        <w:t>•  City finalized: verified under the local policy/role workflow; eligible for an anchor batch.</w:t>
      </w:r>
    </w:p>
    <w:p>
      <w:pPr>
        <w:keepLines/>
        <w:spacing w:after="80" w:line="280" w:lineRule="auto"/>
        <w:ind w:left="720" w:hanging="360"/>
      </w:pPr>
      <w:r>
        <w:rPr>
          <w:rFonts w:ascii="Calibri" w:hAnsi="Calibri"/>
          <w:color w:val="1F2937"/>
        </w:rPr>
        <w:t>•  Anchored: root committed to the parent proof/settlement layer.</w:t>
      </w:r>
    </w:p>
    <w:p>
      <w:pPr>
        <w:keepLines/>
        <w:spacing w:after="80" w:line="280" w:lineRule="auto"/>
        <w:ind w:left="720" w:hanging="360"/>
      </w:pPr>
      <w:r>
        <w:rPr>
          <w:rFonts w:ascii="Calibri" w:hAnsi="Calibri"/>
          <w:color w:val="1F2937"/>
        </w:rPr>
        <w:t>•  Reconciled: any downstream credit/redemption effect has been checked against city records.</w:t>
      </w:r>
    </w:p>
    <w:p>
      <w:pPr>
        <w:keepLines/>
        <w:spacing w:after="80" w:line="280" w:lineRule="auto"/>
        <w:ind w:left="720" w:hanging="360"/>
      </w:pPr>
      <w:r>
        <w:rPr>
          <w:rFonts w:ascii="Calibri" w:hAnsi="Calibri"/>
          <w:color w:val="1F2937"/>
        </w:rPr>
        <w:t>•  Disputed or reversed: original event is never erased; a compensating event with authority and rationale references it.</w:t>
      </w:r>
    </w:p>
    <w:p>
      <w:pPr>
        <w:spacing w:after="120"/>
      </w:pPr>
      <w:r>
        <w:rPr>
          <w:rFonts w:ascii="Calibri" w:hAnsi="Calibri"/>
          <w:color w:val="1F2937"/>
        </w:rPr>
        <w:t>This vocabulary prevents a UI from presenting “on chain” as equivalent to “valid,” “lawful,” or “irreversible.”</w:t>
      </w:r>
    </w:p>
    <w:p>
      <w:pPr>
        <w:pStyle w:val="Heading1"/>
      </w:pPr>
      <w:r>
        <w:t>4. Smart-contract architecture</w:t>
      </w:r>
    </w:p>
    <w:p>
      <w:pPr>
        <w:spacing w:before="80" w:after="80"/>
      </w:pPr>
      <w:r>
        <w:rPr>
          <w:rFonts w:ascii="Calibri" w:hAnsi="Calibri"/>
          <w:i/>
          <w:color w:val="667085"/>
          <w:sz w:val="18"/>
        </w:rPr>
        <w:t>Table 2. Contract suite proposal. Begin with small registries and proofs; do not deploy all modules at once.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2500"/>
        <w:gridCol w:w="3700"/>
        <w:gridCol w:w="3160"/>
      </w:tblGrid>
      <w:tr>
        <w:trPr>
          <w:tblHeader w:val="true"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 w:val="clea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7"/>
              </w:rPr>
              <w:t>Contract / module</w:t>
            </w:r>
          </w:p>
        </w:tc>
        <w:tc>
          <w:tcPr>
            <w:tcW w:type="dxa" w:w="3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 w:val="clea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7"/>
              </w:rPr>
              <w:t>Minimum responsibility</w:t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 w:val="clea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7"/>
              </w:rPr>
              <w:t>Never store or decide</w:t>
            </w:r>
          </w:p>
        </w:tc>
      </w:tr>
      <w:tr>
        <w:trPr>
          <w:cantSplit/>
        </w:trPr>
        <w:tc>
          <w:tcPr>
            <w:tcW w:type="dxa" w:w="2500"/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7"/>
              </w:rPr>
              <w:t>CityRegistry</w:t>
            </w:r>
          </w:p>
        </w:tc>
        <w:tc>
          <w:tcPr>
            <w:tcW w:type="dxa" w:w="3700"/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7"/>
              </w:rPr>
              <w:t>Registers approved city IDs, status, public key/commitment metadata, and operator governance references.</w:t>
            </w:r>
          </w:p>
        </w:tc>
        <w:tc>
          <w:tcPr>
            <w:tcW w:type="dxa" w:w="3160"/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7"/>
              </w:rPr>
              <w:t>Volunteer PII, raw organization documents, unilateral city creation without governance review.</w:t>
            </w:r>
          </w:p>
        </w:tc>
      </w:tr>
      <w:tr>
        <w:trPr>
          <w:cantSplit/>
        </w:trPr>
        <w:tc>
          <w:tcPr>
            <w:tcW w:type="dxa" w:w="2500"/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7"/>
              </w:rPr>
              <w:t>EventAnchorRegistry</w:t>
            </w:r>
          </w:p>
        </w:tc>
        <w:tc>
          <w:tcPr>
            <w:tcW w:type="dxa" w:w="3700"/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7"/>
              </w:rPr>
              <w:t>Stores city root, event-range commitment, canonical policy/version ID, parent reference, timestamp, and submitter.</w:t>
            </w:r>
          </w:p>
        </w:tc>
        <w:tc>
          <w:tcPr>
            <w:tcW w:type="dxa" w:w="3160"/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7"/>
              </w:rPr>
              <w:t>Full operational event payloads, waiver content, screening data, or an assertion that an event was lawful.</w:t>
            </w:r>
          </w:p>
        </w:tc>
      </w:tr>
      <w:tr>
        <w:trPr>
          <w:cantSplit/>
        </w:trPr>
        <w:tc>
          <w:tcPr>
            <w:tcW w:type="dxa" w:w="2500"/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7"/>
              </w:rPr>
              <w:t>CityPolicyRegistry</w:t>
            </w:r>
          </w:p>
        </w:tc>
        <w:tc>
          <w:tcPr>
            <w:tcW w:type="dxa" w:w="3700"/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7"/>
              </w:rPr>
              <w:t>Pins policy documents/hashes for issuance/redemption rules and effective dates.</w:t>
            </w:r>
          </w:p>
        </w:tc>
        <w:tc>
          <w:tcPr>
            <w:tcW w:type="dxa" w:w="3160"/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7"/>
              </w:rPr>
              <w:t>Discretionary interpretation of policies or opaque eligibility scoring.</w:t>
            </w:r>
          </w:p>
        </w:tc>
      </w:tr>
      <w:tr>
        <w:trPr>
          <w:cantSplit/>
        </w:trPr>
        <w:tc>
          <w:tcPr>
            <w:tcW w:type="dxa" w:w="2500"/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7"/>
              </w:rPr>
              <w:t>CreditPolicy / issuance module</w:t>
            </w:r>
          </w:p>
        </w:tc>
        <w:tc>
          <w:tcPr>
            <w:tcW w:type="dxa" w:w="3700"/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7"/>
              </w:rPr>
              <w:t>Validates authorized, capped, idempotent issuance/burn requests once a controlled pilot is approved.</w:t>
            </w:r>
          </w:p>
        </w:tc>
        <w:tc>
          <w:tcPr>
            <w:tcW w:type="dxa" w:w="3160"/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7"/>
              </w:rPr>
              <w:t>Transferability by default, cross-city fungibility, or monetary promises.</w:t>
            </w:r>
          </w:p>
        </w:tc>
      </w:tr>
      <w:tr>
        <w:trPr>
          <w:cantSplit/>
        </w:trPr>
        <w:tc>
          <w:tcPr>
            <w:tcW w:type="dxa" w:w="2500"/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7"/>
              </w:rPr>
              <w:t>RedemptionRegistry</w:t>
            </w:r>
          </w:p>
        </w:tc>
        <w:tc>
          <w:tcPr>
            <w:tcW w:type="dxa" w:w="3700"/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7"/>
              </w:rPr>
              <w:t>Tracks approved redemption attestations, cancellation/refund references, and settlement status.</w:t>
            </w:r>
          </w:p>
        </w:tc>
        <w:tc>
          <w:tcPr>
            <w:tcW w:type="dxa" w:w="3160"/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7"/>
              </w:rPr>
              <w:t>Merchant banking data, private purchase details, or unilateral participant punishment.</w:t>
            </w:r>
          </w:p>
        </w:tc>
      </w:tr>
      <w:tr>
        <w:trPr>
          <w:cantSplit/>
        </w:trPr>
        <w:tc>
          <w:tcPr>
            <w:tcW w:type="dxa" w:w="2500"/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7"/>
              </w:rPr>
              <w:t>Governance and emergency controls</w:t>
            </w:r>
          </w:p>
        </w:tc>
        <w:tc>
          <w:tcPr>
            <w:tcW w:type="dxa" w:w="3700"/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7"/>
              </w:rPr>
              <w:t>Multisig/timelock roles, pause, upgrade process, and public change events.</w:t>
            </w:r>
          </w:p>
        </w:tc>
        <w:tc>
          <w:tcPr>
            <w:tcW w:type="dxa" w:w="3160"/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7"/>
              </w:rPr>
              <w:t>Single-key permanent power, silent upgrades, or unreviewed policy mutation.</w:t>
            </w:r>
          </w:p>
        </w:tc>
      </w:tr>
    </w:tbl>
    <w:p/>
    <w:p>
      <w:pPr>
        <w:pStyle w:val="Heading2"/>
      </w:pPr>
      <w:r>
        <w:t>4.1 Contract engineering standards</w:t>
      </w:r>
    </w:p>
    <w:p>
      <w:pPr>
        <w:spacing w:after="120"/>
      </w:pPr>
      <w:r>
        <w:rPr>
          <w:rFonts w:ascii="Calibri" w:hAnsi="Calibri"/>
          <w:color w:val="1F2937"/>
        </w:rPr>
        <w:t>Begin with minimal immutable interfaces and versioned policy hashes. Use a mature, reviewed contract library; implement role-based access control, pause capability, timelocked upgrades where upgrades are justified, events for every privileged change, explicit idempotency/reference checks, and test coverage for failure modes. OpenZeppelin’s current documentation emphasizes access control, upgrade safety, and operational security tooling [S4][S5].</w:t>
      </w:r>
    </w:p>
    <w:p>
      <w:pPr>
        <w:spacing w:after="120"/>
      </w:pPr>
      <w:r>
        <w:rPr>
          <w:rFonts w:ascii="Calibri" w:hAnsi="Calibri"/>
          <w:color w:val="1F2937"/>
        </w:rPr>
        <w:t>No contract should accept free-form JSON, raw personal data, arbitrary external callbacks, or discretionary black-box eligibility inputs. Contract authority should enforce mechanical policy constraints and record commitments; human governance and local law remain outside the contract.</w:t>
      </w:r>
    </w:p>
    <w:p>
      <w:pPr>
        <w:pStyle w:val="Heading2"/>
      </w:pPr>
      <w:r>
        <w:t>4.2 Credit design decision</w:t>
      </w:r>
    </w:p>
    <w:p>
      <w:pPr>
        <w:spacing w:after="120"/>
      </w:pPr>
      <w:r>
        <w:rPr>
          <w:rFonts w:ascii="Calibri" w:hAnsi="Calibri"/>
          <w:color w:val="1F2937"/>
        </w:rPr>
        <w:t>For a controlled pilot, a non-transferable city benefit ledger is safer than a general ERC-20. If/when a token interface is considered, it needs a separate legal, economic, consumer-protection, accounting, and redemption review. A city credit is city-scoped by default; bridging, pooling, exchange, yield, collateralization, or cross-city conversion are explicitly out of scope until separately governed and tested.</w:t>
      </w:r>
    </w:p>
    <w:p>
      <w:pPr>
        <w:pStyle w:val="Heading1"/>
      </w:pPr>
      <w:r>
        <w:t>5. Local node operators and city execution domains</w:t>
      </w:r>
    </w:p>
    <w:p>
      <w:pPr>
        <w:spacing w:after="120"/>
      </w:pPr>
      <w:r>
        <w:rPr>
          <w:rFonts w:ascii="Calibri" w:hAnsi="Calibri"/>
          <w:color w:val="1F2937"/>
        </w:rPr>
        <w:t>Local nodes are not merely technical servers. They are accountable operating roles with uptime, evidence-retention, key-management, incident, data-access, and governance responsibilities. A city should never be told it “owns a chain” if it only has a dashboard login and no meaningful operational or governance role.</w:t>
      </w:r>
    </w:p>
    <w:p>
      <w:pPr>
        <w:spacing w:before="80" w:after="80"/>
      </w:pPr>
      <w:r>
        <w:rPr>
          <w:rFonts w:ascii="Calibri" w:hAnsi="Calibri"/>
          <w:i/>
          <w:color w:val="667085"/>
          <w:sz w:val="18"/>
        </w:rPr>
        <w:t>Table 3. Minimum operator topology for a controlled pilot.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1900"/>
        <w:gridCol w:w="2500"/>
        <w:gridCol w:w="4960"/>
      </w:tblGrid>
      <w:tr>
        <w:trPr>
          <w:tblHeader w:val="true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 w:val="clea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7"/>
              </w:rPr>
              <w:t>Role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 w:val="clea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7"/>
              </w:rPr>
              <w:t>Operated by</w:t>
            </w:r>
          </w:p>
        </w:tc>
        <w:tc>
          <w:tcPr>
            <w:tcW w:type="dxa" w:w="4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 w:val="clea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7"/>
              </w:rPr>
              <w:t>Minimum responsibilities</w:t>
            </w:r>
          </w:p>
        </w:tc>
      </w:tr>
      <w:tr>
        <w:trPr>
          <w:cantSplit/>
        </w:trPr>
        <w:tc>
          <w:tcPr>
            <w:tcW w:type="dxa" w:w="1900"/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7"/>
              </w:rPr>
              <w:t>City sequencer / submitter</w:t>
            </w:r>
          </w:p>
        </w:tc>
        <w:tc>
          <w:tcPr>
            <w:tcW w:type="dxa" w:w="2500"/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7"/>
              </w:rPr>
              <w:t>Named local city operator under a written operating agreement.</w:t>
            </w:r>
          </w:p>
        </w:tc>
        <w:tc>
          <w:tcPr>
            <w:tcW w:type="dxa" w:w="4960"/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7"/>
              </w:rPr>
              <w:t>Produces or submits city commitments, maintains local event export, follows key-management and incident procedures, and cannot unilaterally change shared policy.</w:t>
            </w:r>
          </w:p>
        </w:tc>
      </w:tr>
      <w:tr>
        <w:trPr>
          <w:cantSplit/>
        </w:trPr>
        <w:tc>
          <w:tcPr>
            <w:tcW w:type="dxa" w:w="1900"/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7"/>
              </w:rPr>
              <w:t>Independent verifier</w:t>
            </w:r>
          </w:p>
        </w:tc>
        <w:tc>
          <w:tcPr>
            <w:tcW w:type="dxa" w:w="2500"/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7"/>
              </w:rPr>
              <w:t>City/Sync or an independent technical partner.</w:t>
            </w:r>
          </w:p>
        </w:tc>
        <w:tc>
          <w:tcPr>
            <w:tcW w:type="dxa" w:w="4960"/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7"/>
              </w:rPr>
              <w:t>Recomputes hashes/roots from an export or replica, alarms on mismatch, and publishes verifiable status without exposing private data.</w:t>
            </w:r>
          </w:p>
        </w:tc>
      </w:tr>
      <w:tr>
        <w:trPr>
          <w:cantSplit/>
        </w:trPr>
        <w:tc>
          <w:tcPr>
            <w:tcW w:type="dxa" w:w="1900"/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7"/>
              </w:rPr>
              <w:t>Archive / evidence node</w:t>
            </w:r>
          </w:p>
        </w:tc>
        <w:tc>
          <w:tcPr>
            <w:tcW w:type="dxa" w:w="2500"/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7"/>
              </w:rPr>
              <w:t>City operator plus a separate retention party where lawful.</w:t>
            </w:r>
          </w:p>
        </w:tc>
        <w:tc>
          <w:tcPr>
            <w:tcW w:type="dxa" w:w="4960"/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7"/>
              </w:rPr>
              <w:t>Retains approved ledger exports, policy snapshots, proofs, and recovery material under retention/access rules.</w:t>
            </w:r>
          </w:p>
        </w:tc>
      </w:tr>
      <w:tr>
        <w:trPr>
          <w:cantSplit/>
        </w:trPr>
        <w:tc>
          <w:tcPr>
            <w:tcW w:type="dxa" w:w="1900"/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7"/>
              </w:rPr>
              <w:t>Watchtower / monitor</w:t>
            </w:r>
          </w:p>
        </w:tc>
        <w:tc>
          <w:tcPr>
            <w:tcW w:type="dxa" w:w="2500"/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7"/>
              </w:rPr>
              <w:t>Independent service or partner.</w:t>
            </w:r>
          </w:p>
        </w:tc>
        <w:tc>
          <w:tcPr>
            <w:tcW w:type="dxa" w:w="4960"/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7"/>
              </w:rPr>
              <w:t>Monitors liveness, root cadence, policy mismatch, unexpected issuance, contract events, gas-sponsorship limits, and key/role changes.</w:t>
            </w:r>
          </w:p>
        </w:tc>
      </w:tr>
      <w:tr>
        <w:trPr>
          <w:cantSplit/>
        </w:trPr>
        <w:tc>
          <w:tcPr>
            <w:tcW w:type="dxa" w:w="1900"/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7"/>
              </w:rPr>
              <w:t>Governance signers</w:t>
            </w:r>
          </w:p>
        </w:tc>
        <w:tc>
          <w:tcPr>
            <w:tcW w:type="dxa" w:w="2500"/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7"/>
              </w:rPr>
              <w:t>Distributed, disclosed accountable parties.</w:t>
            </w:r>
          </w:p>
        </w:tc>
        <w:tc>
          <w:tcPr>
            <w:tcW w:type="dxa" w:w="4960"/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7"/>
              </w:rPr>
              <w:t>Control upgrades and emergency actions through threshold approval, a delay where appropriate, recorded rationale, and a recovery process.</w:t>
            </w:r>
          </w:p>
        </w:tc>
      </w:tr>
    </w:tbl>
    <w:p/>
    <w:p>
      <w:pPr>
        <w:pStyle w:val="Heading2"/>
      </w:pPr>
      <w:r>
        <w:t>5.1 Operator onboarding requirements</w:t>
      </w:r>
    </w:p>
    <w:p>
      <w:pPr>
        <w:spacing w:after="120"/>
      </w:pPr>
      <w:r>
        <w:rPr>
          <w:rFonts w:ascii="Calibri" w:hAnsi="Calibri"/>
          <w:color w:val="1F2937"/>
        </w:rPr>
        <w:t>Before a city operator can submit production commitments, City/Sync should require a named legal/operating entity, responsible technical contacts, signed operating agreement, backup/restore test, key-ceremony record, incident contacts, monitoring connection, data-retention/export plan, privacy/security review, and a completed tabletop exercise. The agreement should define uptime expectations, data availability, release/change authority, exit/handoff, cost responsibility, and the response if the city pauses or loses funding.</w:t>
      </w:r>
    </w:p>
    <w:p>
      <w:pPr>
        <w:pStyle w:val="Heading2"/>
      </w:pPr>
      <w:r>
        <w:t>5.2 Decentralization path</w:t>
      </w:r>
    </w:p>
    <w:p>
      <w:pPr>
        <w:spacing w:after="120"/>
      </w:pPr>
      <w:r>
        <w:rPr>
          <w:rFonts w:ascii="Calibri" w:hAnsi="Calibri"/>
          <w:color w:val="1F2937"/>
        </w:rPr>
        <w:t>Stage A: City/Sync-operated service with city-visible audit. Stage B: local operator runs a replica/archive and co-signs/approves scheduled commitments. Stage C: independent verifier/watchtower and distributed governance signers. Stage D: a qualified city execution operator runs a child domain with audited settlement to City/Sync. Each stage requires demonstrated operational competence; decentralization should improve resilience and accountability, not distribute unmanaged risk.</w:t>
      </w:r>
    </w:p>
    <w:p>
      <w:pPr>
        <w:pStyle w:val="Heading1"/>
      </w:pPr>
      <w:r>
        <w:t>6. Data availability, privacy, and settlement</w:t>
      </w:r>
    </w:p>
    <w:p>
      <w:pPr>
        <w:spacing w:before="80" w:after="80"/>
      </w:pPr>
      <w:r>
        <w:rPr>
          <w:rFonts w:ascii="Calibri" w:hAnsi="Calibri"/>
          <w:i/>
          <w:color w:val="667085"/>
          <w:sz w:val="18"/>
        </w:rPr>
        <w:t>Table 4. Data availability must be chosen for the actual public-verification requirement, not simply for the lowest fee.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2450"/>
        <w:gridCol w:w="3300"/>
        <w:gridCol w:w="3610"/>
      </w:tblGrid>
      <w:tr>
        <w:trPr>
          <w:tblHeader w:val="true"/>
        </w:trPr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 w:val="clea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7"/>
              </w:rPr>
              <w:t>Data availability option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 w:val="clea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7"/>
              </w:rPr>
              <w:t>Benefit</w:t>
            </w:r>
          </w:p>
        </w:tc>
        <w:tc>
          <w:tcPr>
            <w:tcW w:type="dxa" w:w="3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 w:val="clea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7"/>
              </w:rPr>
              <w:t>Tradeoff / decision rule</w:t>
            </w:r>
          </w:p>
        </w:tc>
      </w:tr>
      <w:tr>
        <w:trPr>
          <w:cantSplit/>
        </w:trPr>
        <w:tc>
          <w:tcPr>
            <w:tcW w:type="dxa" w:w="2450"/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7"/>
              </w:rPr>
              <w:t>Rollup-style public data availability</w:t>
            </w:r>
          </w:p>
        </w:tc>
        <w:tc>
          <w:tcPr>
            <w:tcW w:type="dxa" w:w="3300"/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7"/>
              </w:rPr>
              <w:t>Strongest public reconstructability because data is posted to the parent chain.</w:t>
            </w:r>
          </w:p>
        </w:tc>
        <w:tc>
          <w:tcPr>
            <w:tcW w:type="dxa" w:w="3610"/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7"/>
              </w:rPr>
              <w:t>Higher cost. Use if public third parties must reconstruct the relevant non-sensitive transaction data without trusting a local committee.</w:t>
            </w:r>
          </w:p>
        </w:tc>
      </w:tr>
      <w:tr>
        <w:trPr>
          <w:cantSplit/>
        </w:trPr>
        <w:tc>
          <w:tcPr>
            <w:tcW w:type="dxa" w:w="2450"/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7"/>
              </w:rPr>
              <w:t>AnyTrust / DAC model</w:t>
            </w:r>
          </w:p>
        </w:tc>
        <w:tc>
          <w:tcPr>
            <w:tcW w:type="dxa" w:w="3300"/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7"/>
              </w:rPr>
              <w:t>Lower cost by storing data through a committee and posting availability certificates; Arbitrum Nitro documents a different trust assumption for this mode [S2].</w:t>
            </w:r>
          </w:p>
        </w:tc>
        <w:tc>
          <w:tcPr>
            <w:tcW w:type="dxa" w:w="3610"/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7"/>
              </w:rPr>
              <w:t>Requires committee governance, availability monitoring, membership/key procedures, and a clear explanation of what is and is not publicly retrievable. Use only after an explicit risk decision.</w:t>
            </w:r>
          </w:p>
        </w:tc>
      </w:tr>
      <w:tr>
        <w:trPr>
          <w:cantSplit/>
        </w:trPr>
        <w:tc>
          <w:tcPr>
            <w:tcW w:type="dxa" w:w="2450"/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7"/>
              </w:rPr>
              <w:t>Off-chain private export plus on-chain roots</w:t>
            </w:r>
          </w:p>
        </w:tc>
        <w:tc>
          <w:tcPr>
            <w:tcW w:type="dxa" w:w="3300"/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7"/>
              </w:rPr>
              <w:t>Lowest complexity for early integrity work; preserves privacy and fits the current city-ledger model.</w:t>
            </w:r>
          </w:p>
        </w:tc>
        <w:tc>
          <w:tcPr>
            <w:tcW w:type="dxa" w:w="3610"/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7"/>
              </w:rPr>
              <w:t>The chain proves commitments, not complete public availability. Appropriate for phase-one auditability and testnet replay, not a substitute for a full local-chain claim.</w:t>
            </w:r>
          </w:p>
        </w:tc>
      </w:tr>
    </w:tbl>
    <w:p/>
    <w:p>
      <w:pPr>
        <w:spacing w:after="120"/>
      </w:pPr>
      <w:r>
        <w:rPr>
          <w:rFonts w:ascii="Calibri" w:hAnsi="Calibri"/>
          <w:color w:val="1F2937"/>
        </w:rPr>
        <w:t>The choice is not “on chain or private.” It is a spectrum of what must be publicly reconstructable, who may retrieve a payload, and which party carries an availability obligation. City/Sync’s early proof design should anchor private-city roots and publish a verifier. If a later city chain uses an AnyTrust-style data-availability committee, the committee’s membership, threshold, monitoring, retention, fees, key rotation, and failure procedure must be part of the public operating model. Nitro documentation describes AnyTrust as a lower-cost variant with a different trust assumption [S2].</w:t>
      </w:r>
    </w:p>
    <w:p>
      <w:pPr>
        <w:pStyle w:val="Heading2"/>
      </w:pPr>
      <w:r>
        <w:t>6.1 Privacy-safe proof bundle</w:t>
      </w:r>
    </w:p>
    <w:p>
      <w:pPr>
        <w:spacing w:after="120"/>
      </w:pPr>
      <w:r>
        <w:rPr>
          <w:rFonts w:ascii="Calibri" w:hAnsi="Calibri"/>
          <w:color w:val="1F2937"/>
        </w:rPr>
        <w:t>A proof bundle should contain: city ID; anchor ID; event sequence range; Merkle root; hash algorithms/version; policy hashes; timestamp; contract transaction/receipt where applicable; a city-signed export manifest; optional inclusion proofs for an authorized participant; and verifier instructions. It should not include the private event payload unless a lawful recipient has authenticated into the city data domain and the release is separately authorized.</w:t>
      </w:r>
    </w:p>
    <w:p>
      <w:pPr>
        <w:pStyle w:val="Heading1"/>
      </w:pPr>
      <w:r>
        <w:t>7. Delivery roadmap and readiness gates</w:t>
      </w:r>
    </w:p>
    <w:p>
      <w:pPr>
        <w:spacing w:before="80" w:after="80"/>
      </w:pPr>
      <w:r>
        <w:rPr>
          <w:rFonts w:ascii="Calibri" w:hAnsi="Calibri"/>
          <w:i/>
          <w:color w:val="667085"/>
          <w:sz w:val="18"/>
        </w:rPr>
        <w:t>Table 5. Architecture delivery sequence. An advanced stage must not be started only because a later technology is attractive.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1650"/>
        <w:gridCol w:w="4520"/>
        <w:gridCol w:w="3190"/>
      </w:tblGrid>
      <w:tr>
        <w:trPr>
          <w:tblHeader w:val="true"/>
        </w:trPr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 w:val="clea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7"/>
              </w:rPr>
              <w:t>Stage</w:t>
            </w:r>
          </w:p>
        </w:tc>
        <w:tc>
          <w:tcPr>
            <w:tcW w:type="dxa" w:w="4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 w:val="clea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7"/>
              </w:rPr>
              <w:t>Technical delivery</w:t>
            </w:r>
          </w:p>
        </w:tc>
        <w:tc>
          <w:tcPr>
            <w:tcW w:type="dxa" w:w="319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 w:val="clea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7"/>
              </w:rPr>
              <w:t>Required gate</w:t>
            </w:r>
          </w:p>
        </w:tc>
      </w:tr>
      <w:tr>
        <w:trPr>
          <w:cantSplit/>
        </w:trPr>
        <w:tc>
          <w:tcPr>
            <w:tcW w:type="dxa" w:w="1650"/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7"/>
              </w:rPr>
              <w:t>0 — Model</w:t>
            </w:r>
          </w:p>
        </w:tc>
        <w:tc>
          <w:tcPr>
            <w:tcW w:type="dxa" w:w="4520"/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7"/>
              </w:rPr>
              <w:t>Threat model, data classification, canonical event schema, deterministic verifier, governance and cost design.</w:t>
            </w:r>
          </w:p>
        </w:tc>
        <w:tc>
          <w:tcPr>
            <w:tcW w:type="dxa" w:w="3190"/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7"/>
              </w:rPr>
              <w:t>No unresolved ambiguity about city boundary, PII boundary, authority, or event finality.</w:t>
            </w:r>
          </w:p>
        </w:tc>
      </w:tr>
      <w:tr>
        <w:trPr>
          <w:cantSplit/>
        </w:trPr>
        <w:tc>
          <w:tcPr>
            <w:tcW w:type="dxa" w:w="1650"/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7"/>
              </w:rPr>
              <w:t>1 — Off-chain maturity</w:t>
            </w:r>
          </w:p>
        </w:tc>
        <w:tc>
          <w:tcPr>
            <w:tcW w:type="dxa" w:w="4520"/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7"/>
              </w:rPr>
              <w:t>Independent city databases, backups/restore, hash-chain verification, public-safe proof exports, operational monitoring.</w:t>
            </w:r>
          </w:p>
        </w:tc>
        <w:tc>
          <w:tcPr>
            <w:tcW w:type="dxa" w:w="3190"/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7"/>
              </w:rPr>
              <w:t>Repeated local operation and independent recomputation from export.</w:t>
            </w:r>
          </w:p>
        </w:tc>
      </w:tr>
      <w:tr>
        <w:trPr>
          <w:cantSplit/>
        </w:trPr>
        <w:tc>
          <w:tcPr>
            <w:tcW w:type="dxa" w:w="1650"/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7"/>
              </w:rPr>
              <w:t>2 — Testnet anchor</w:t>
            </w:r>
          </w:p>
        </w:tc>
        <w:tc>
          <w:tcPr>
            <w:tcW w:type="dxa" w:w="4520"/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7"/>
              </w:rPr>
              <w:t>EventAnchorRegistry, policy hashes, testnet root submissions, relayer/sponsorship simulation, contract test suite.</w:t>
            </w:r>
          </w:p>
        </w:tc>
        <w:tc>
          <w:tcPr>
            <w:tcW w:type="dxa" w:w="3190"/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7"/>
              </w:rPr>
              <w:t>Security review and reproducibility test; no authoritative balances.</w:t>
            </w:r>
          </w:p>
        </w:tc>
      </w:tr>
      <w:tr>
        <w:trPr>
          <w:cantSplit/>
        </w:trPr>
        <w:tc>
          <w:tcPr>
            <w:tcW w:type="dxa" w:w="1650"/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7"/>
              </w:rPr>
              <w:t>3 — Pilot settlement</w:t>
            </w:r>
          </w:p>
        </w:tc>
        <w:tc>
          <w:tcPr>
            <w:tcW w:type="dxa" w:w="4520"/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7"/>
              </w:rPr>
              <w:t>One-city controlled commitments, external verifier, operator dashboard, incident exercise, public transparency reports.</w:t>
            </w:r>
          </w:p>
        </w:tc>
        <w:tc>
          <w:tcPr>
            <w:tcW w:type="dxa" w:w="3190"/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7"/>
              </w:rPr>
              <w:t>Named operators, service levels, key ceremony, data-availability decision, and audit readiness.</w:t>
            </w:r>
          </w:p>
        </w:tc>
      </w:tr>
      <w:tr>
        <w:trPr>
          <w:cantSplit/>
        </w:trPr>
        <w:tc>
          <w:tcPr>
            <w:tcW w:type="dxa" w:w="1650"/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7"/>
              </w:rPr>
              <w:t>4 — Local execution domain</w:t>
            </w:r>
          </w:p>
        </w:tc>
        <w:tc>
          <w:tcPr>
            <w:tcW w:type="dxa" w:w="4520"/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7"/>
              </w:rPr>
              <w:t>Optional city child-chain/permissioned execution pilot, city node topology, parent settlement, fraud/liveness monitoring.</w:t>
            </w:r>
          </w:p>
        </w:tc>
        <w:tc>
          <w:tcPr>
            <w:tcW w:type="dxa" w:w="3190"/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7"/>
              </w:rPr>
              <w:t>Volume or governance need justifies the added complexity; local operator budget and independence requirements met.</w:t>
            </w:r>
          </w:p>
        </w:tc>
      </w:tr>
      <w:tr>
        <w:trPr>
          <w:cantSplit/>
        </w:trPr>
        <w:tc>
          <w:tcPr>
            <w:tcW w:type="dxa" w:w="1650"/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7"/>
              </w:rPr>
              <w:t>5 — Credit authority</w:t>
            </w:r>
          </w:p>
        </w:tc>
        <w:tc>
          <w:tcPr>
            <w:tcW w:type="dxa" w:w="4520"/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7"/>
              </w:rPr>
              <w:t>Limited contract-authoritative issuance/redeem flow, reserve/reconciliation, pause/recovery, consumer communications.</w:t>
            </w:r>
          </w:p>
        </w:tc>
        <w:tc>
          <w:tcPr>
            <w:tcW w:type="dxa" w:w="3190"/>
          </w:tcPr>
          <w:p>
            <w:pPr>
              <w:spacing w:after="0"/>
            </w:pPr>
            <w:r>
              <w:rPr>
                <w:rFonts w:ascii="Calibri" w:hAnsi="Calibri"/>
                <w:color w:val="1F2937"/>
                <w:sz w:val="17"/>
              </w:rPr>
              <w:t>Legal/fiscal review, audited contracts, redemption partners, policy approval, and independently tested controls.</w:t>
            </w:r>
          </w:p>
        </w:tc>
      </w:tr>
    </w:tbl>
    <w:p/>
    <w:p>
      <w:pPr>
        <w:pStyle w:val="Heading1"/>
      </w:pPr>
      <w:r>
        <w:t>8. Security, governance, and incident design</w:t>
      </w:r>
    </w:p>
    <w:p>
      <w:pPr>
        <w:pStyle w:val="Heading2"/>
      </w:pPr>
      <w:r>
        <w:t>8.1 Threat model categories</w:t>
      </w:r>
    </w:p>
    <w:p>
      <w:pPr>
        <w:keepLines/>
        <w:spacing w:after="80" w:line="280" w:lineRule="auto"/>
        <w:ind w:left="720" w:hanging="360"/>
      </w:pPr>
      <w:r>
        <w:rPr>
          <w:rFonts w:ascii="Calibri" w:hAnsi="Calibri"/>
          <w:color w:val="1F2937"/>
        </w:rPr>
        <w:t>•  Unauthorized issuance or redemption: mitigate with scoped roles, city policy limits, idempotency keys, dual control for high-risk actions, rate limits, reconciliation, and pause/recovery.</w:t>
      </w:r>
    </w:p>
    <w:p>
      <w:pPr>
        <w:keepLines/>
        <w:spacing w:after="80" w:line="280" w:lineRule="auto"/>
        <w:ind w:left="720" w:hanging="360"/>
      </w:pPr>
      <w:r>
        <w:rPr>
          <w:rFonts w:ascii="Calibri" w:hAnsi="Calibri"/>
          <w:color w:val="1F2937"/>
        </w:rPr>
        <w:t>•  Operator compromise: hardware-backed keys where practical, key rotation, threshold signing, separation of duties, monitoring, and a documented emergency replacement process.</w:t>
      </w:r>
    </w:p>
    <w:p>
      <w:pPr>
        <w:keepLines/>
        <w:spacing w:after="80" w:line="280" w:lineRule="auto"/>
        <w:ind w:left="720" w:hanging="360"/>
      </w:pPr>
      <w:r>
        <w:rPr>
          <w:rFonts w:ascii="Calibri" w:hAnsi="Calibri"/>
          <w:color w:val="1F2937"/>
        </w:rPr>
        <w:t>•  Data unavailability: independent exports, archive replicas, monitoring, defined retention, availability commitments, restore drills, and clear client status messaging.</w:t>
      </w:r>
    </w:p>
    <w:p>
      <w:pPr>
        <w:keepLines/>
        <w:spacing w:after="80" w:line="280" w:lineRule="auto"/>
        <w:ind w:left="720" w:hanging="360"/>
      </w:pPr>
      <w:r>
        <w:rPr>
          <w:rFonts w:ascii="Calibri" w:hAnsi="Calibri"/>
          <w:color w:val="1F2937"/>
        </w:rPr>
        <w:t>•  Private-data leakage: classification, minimization, redaction-safe envelopes, encryption, restricted logs, access reviews, vendor controls, and incident response.</w:t>
      </w:r>
    </w:p>
    <w:p>
      <w:pPr>
        <w:keepLines/>
        <w:spacing w:after="80" w:line="280" w:lineRule="auto"/>
        <w:ind w:left="720" w:hanging="360"/>
      </w:pPr>
      <w:r>
        <w:rPr>
          <w:rFonts w:ascii="Calibri" w:hAnsi="Calibri"/>
          <w:color w:val="1F2937"/>
        </w:rPr>
        <w:t>•  Contract error: formal specification where valuable, test suite/fuzzing, independent audit, staged testnet/canary, timelocked upgrades, pause, and a transparent disclosure policy.</w:t>
      </w:r>
    </w:p>
    <w:p>
      <w:pPr>
        <w:keepLines/>
        <w:spacing w:after="80" w:line="280" w:lineRule="auto"/>
        <w:ind w:left="720" w:hanging="360"/>
      </w:pPr>
      <w:r>
        <w:rPr>
          <w:rFonts w:ascii="Calibri" w:hAnsi="Calibri"/>
          <w:color w:val="1F2937"/>
        </w:rPr>
        <w:t>•  Governance capture: multi-party signers, published roles, quorum, conflict policy, delay for non-emergency changes, audit log, and city/operator appeal/escalation process.</w:t>
      </w:r>
    </w:p>
    <w:p>
      <w:pPr>
        <w:pStyle w:val="Heading2"/>
      </w:pPr>
      <w:r>
        <w:t>8.2 Emergency response</w:t>
      </w:r>
    </w:p>
    <w:p>
      <w:pPr>
        <w:spacing w:after="120"/>
      </w:pPr>
      <w:r>
        <w:rPr>
          <w:rFonts w:ascii="Calibri" w:hAnsi="Calibri"/>
          <w:color w:val="1F2937"/>
        </w:rPr>
        <w:t>Define four actions in advance: pause a contract function; pause a city’s new issuance/redemption; hold anchor submissions while preserving local events; and revoke/rotate an operator or signer. Each action must have threshold, authority, communication template, evidence requirements, restoration conditions, and a post-incident review. A pause is a protection control—not an excuse to rewrite history.</w:t>
      </w:r>
    </w:p>
    <w:p>
      <w:pPr>
        <w:pStyle w:val="Heading2"/>
      </w:pPr>
      <w:r>
        <w:t>8.3 Audit program</w:t>
      </w:r>
    </w:p>
    <w:p>
      <w:pPr>
        <w:spacing w:after="120"/>
      </w:pPr>
      <w:r>
        <w:rPr>
          <w:rFonts w:ascii="Calibri" w:hAnsi="Calibri"/>
          <w:color w:val="1F2937"/>
        </w:rPr>
        <w:t>The audit sequence should be: internal specification review; independent code review; public testnet and bug bounty where appropriate; external smart-contract audit before any authoritative value-bearing control; and recurring operational/security audits of nodes, key management, data availability, and governance. Contract audits are necessary but not sufficient: the city application and operator process remain part of the attack surface.</w:t>
      </w:r>
    </w:p>
    <w:p>
      <w:pPr>
        <w:pStyle w:val="Heading1"/>
      </w:pPr>
      <w:r>
        <w:t>9. Cost and operating model</w:t>
      </w:r>
    </w:p>
    <w:p>
      <w:pPr>
        <w:spacing w:after="120"/>
      </w:pPr>
      <w:r>
        <w:rPr>
          <w:rFonts w:ascii="Calibri" w:hAnsi="Calibri"/>
          <w:color w:val="1F2937"/>
        </w:rPr>
        <w:t>Budget separately for application reliability, city database hosting/backups, monitoring, secure key management, observability, relayer/gas sponsorship, data availability, archive storage, node operations, audits, legal/policy work, and local operator training/support. The L3 can reduce or organize some settlement costs, but it introduces contracts, infrastructure, security, governance, and availability obligations. A local chain is justified only where the public-interest benefit and local operating capacity exceed those incremental costs.</w:t>
      </w:r>
    </w:p>
    <w:p>
      <w:pPr>
        <w:pStyle w:val="Heading2"/>
      </w:pPr>
      <w:r>
        <w:t>9.1 Architecture decision records to maintain</w:t>
      </w:r>
    </w:p>
    <w:p>
      <w:pPr>
        <w:keepLines/>
        <w:spacing w:after="80" w:line="280" w:lineRule="auto"/>
        <w:ind w:left="720" w:hanging="360"/>
        <w:numPr>
          <w:ilvl w:val="0"/>
          <w:numId w:val="111"/>
        </w:numPr>
      </w:pPr>
      <w:r>
        <w:rPr>
          <w:rFonts w:ascii="Calibri" w:hAnsi="Calibri"/>
          <w:color w:val="1F2937"/>
        </w:rPr>
        <w:t>Parent chain and settlement model.</w:t>
      </w:r>
    </w:p>
    <w:p>
      <w:pPr>
        <w:keepLines/>
        <w:spacing w:after="80" w:line="280" w:lineRule="auto"/>
        <w:ind w:left="720" w:hanging="360"/>
        <w:numPr>
          <w:ilvl w:val="0"/>
          <w:numId w:val="111"/>
        </w:numPr>
      </w:pPr>
      <w:r>
        <w:rPr>
          <w:rFonts w:ascii="Calibri" w:hAnsi="Calibri"/>
          <w:color w:val="1F2937"/>
        </w:rPr>
        <w:t>Public rollup data availability versus AnyTrust/DAC model.</w:t>
      </w:r>
    </w:p>
    <w:p>
      <w:pPr>
        <w:keepLines/>
        <w:spacing w:after="80" w:line="280" w:lineRule="auto"/>
        <w:ind w:left="720" w:hanging="360"/>
        <w:numPr>
          <w:ilvl w:val="0"/>
          <w:numId w:val="111"/>
        </w:numPr>
      </w:pPr>
      <w:r>
        <w:rPr>
          <w:rFonts w:ascii="Calibri" w:hAnsi="Calibri"/>
          <w:color w:val="1F2937"/>
        </w:rPr>
        <w:t>Canonical event schema and hash serialization/versioning.</w:t>
      </w:r>
    </w:p>
    <w:p>
      <w:pPr>
        <w:keepLines/>
        <w:spacing w:after="80" w:line="280" w:lineRule="auto"/>
        <w:ind w:left="720" w:hanging="360"/>
        <w:numPr>
          <w:ilvl w:val="0"/>
          <w:numId w:val="111"/>
        </w:numPr>
      </w:pPr>
      <w:r>
        <w:rPr>
          <w:rFonts w:ascii="Calibri" w:hAnsi="Calibri"/>
          <w:color w:val="1F2937"/>
        </w:rPr>
        <w:t>Which events are anchorable and what metadata may be public.</w:t>
      </w:r>
    </w:p>
    <w:p>
      <w:pPr>
        <w:keepLines/>
        <w:spacing w:after="80" w:line="280" w:lineRule="auto"/>
        <w:ind w:left="720" w:hanging="360"/>
        <w:numPr>
          <w:ilvl w:val="0"/>
          <w:numId w:val="111"/>
        </w:numPr>
      </w:pPr>
      <w:r>
        <w:rPr>
          <w:rFonts w:ascii="Calibri" w:hAnsi="Calibri"/>
          <w:color w:val="1F2937"/>
        </w:rPr>
        <w:t>City identity/key model and city operator admission/exit process.</w:t>
      </w:r>
    </w:p>
    <w:p>
      <w:pPr>
        <w:keepLines/>
        <w:spacing w:after="80" w:line="280" w:lineRule="auto"/>
        <w:ind w:left="720" w:hanging="360"/>
        <w:numPr>
          <w:ilvl w:val="0"/>
          <w:numId w:val="111"/>
        </w:numPr>
      </w:pPr>
      <w:r>
        <w:rPr>
          <w:rFonts w:ascii="Calibri" w:hAnsi="Calibri"/>
          <w:color w:val="1F2937"/>
        </w:rPr>
        <w:t>Governance signer composition, quorum, timelock, and emergency roles.</w:t>
      </w:r>
    </w:p>
    <w:p>
      <w:pPr>
        <w:keepLines/>
        <w:spacing w:after="80" w:line="280" w:lineRule="auto"/>
        <w:ind w:left="720" w:hanging="360"/>
        <w:numPr>
          <w:ilvl w:val="0"/>
          <w:numId w:val="111"/>
        </w:numPr>
      </w:pPr>
      <w:r>
        <w:rPr>
          <w:rFonts w:ascii="Calibri" w:hAnsi="Calibri"/>
          <w:color w:val="1F2937"/>
        </w:rPr>
        <w:t>Credit classification, transferability policy, redemption funding/reconciliation, and cross-city prohibition.</w:t>
      </w:r>
    </w:p>
    <w:p>
      <w:pPr>
        <w:keepLines/>
        <w:spacing w:after="80" w:line="280" w:lineRule="auto"/>
        <w:ind w:left="720" w:hanging="360"/>
        <w:numPr>
          <w:ilvl w:val="0"/>
          <w:numId w:val="111"/>
        </w:numPr>
      </w:pPr>
      <w:r>
        <w:rPr>
          <w:rFonts w:ascii="Calibri" w:hAnsi="Calibri"/>
          <w:color w:val="1F2937"/>
        </w:rPr>
        <w:t>Node topology, archive/export obligations, monitoring, and independent verifier requirements.</w:t>
      </w:r>
    </w:p>
    <w:p>
      <w:pPr>
        <w:pStyle w:val="Heading1"/>
      </w:pPr>
      <w:r>
        <w:t>10. Source and planning notes</w:t>
      </w:r>
    </w:p>
    <w:p>
      <w:pPr>
        <w:keepLines/>
        <w:spacing w:after="80" w:line="280" w:lineRule="auto"/>
        <w:ind w:left="720" w:hanging="360"/>
      </w:pPr>
      <w:r>
        <w:rPr>
          <w:rFonts w:ascii="Calibri" w:hAnsi="Calibri"/>
          <w:color w:val="1F2937"/>
        </w:rPr>
        <w:t>•  [S1] Arbitrum Documentation, https://docs.arbitrum.io/ (accessed July 2026). Dedicated-chain configuration and deployment documentation should be revalidated before implementation.</w:t>
      </w:r>
    </w:p>
    <w:p>
      <w:pPr>
        <w:keepLines/>
        <w:spacing w:after="80" w:line="280" w:lineRule="auto"/>
        <w:ind w:left="720" w:hanging="360"/>
      </w:pPr>
      <w:r>
        <w:rPr>
          <w:rFonts w:ascii="Calibri" w:hAnsi="Calibri"/>
          <w:color w:val="1F2937"/>
        </w:rPr>
        <w:t>•  [S2] Offchain Labs, “Arbitrum Nitro: A Second-Generation Optimistic Rollup,” https://docs.arbitrum.io/nitro-whitepaper.pdf (accessed July 2026). Includes the AnyTrust data-availability trust model.</w:t>
      </w:r>
    </w:p>
    <w:p>
      <w:pPr>
        <w:keepLines/>
        <w:spacing w:after="80" w:line="280" w:lineRule="auto"/>
        <w:ind w:left="720" w:hanging="360"/>
      </w:pPr>
      <w:r>
        <w:rPr>
          <w:rFonts w:ascii="Calibri" w:hAnsi="Calibri"/>
          <w:color w:val="1F2937"/>
        </w:rPr>
        <w:t>•  [S3] Turso, “libSQL” and “Turso Cloud Documentation,” https://docs.turso.tech/libsql and https://docs.turso.tech/turso-cloud (accessed July 2026).</w:t>
      </w:r>
    </w:p>
    <w:p>
      <w:pPr>
        <w:keepLines/>
        <w:spacing w:after="80" w:line="280" w:lineRule="auto"/>
        <w:ind w:left="720" w:hanging="360"/>
      </w:pPr>
      <w:r>
        <w:rPr>
          <w:rFonts w:ascii="Calibri" w:hAnsi="Calibri"/>
          <w:color w:val="1F2937"/>
        </w:rPr>
        <w:t>•  [S4] OpenZeppelin Contracts, https://docs.openzeppelin.com/contracts (accessed July 2026).</w:t>
      </w:r>
    </w:p>
    <w:p>
      <w:pPr>
        <w:keepLines/>
        <w:spacing w:after="80" w:line="280" w:lineRule="auto"/>
        <w:ind w:left="720" w:hanging="360"/>
      </w:pPr>
      <w:r>
        <w:rPr>
          <w:rFonts w:ascii="Calibri" w:hAnsi="Calibri"/>
          <w:color w:val="1F2937"/>
        </w:rPr>
        <w:t>•  [S5] OpenZeppelin Upgrades, https://docs.openzeppelin.com/upgrades (accessed July 2026).</w:t>
      </w:r>
    </w:p>
    <w:p>
      <w:pPr>
        <w:spacing w:after="120"/>
      </w:pPr>
      <w:r>
        <w:rPr>
          <w:rFonts w:ascii="Calibri" w:hAnsi="Calibri"/>
          <w:color w:val="1F2937"/>
        </w:rPr>
        <w:t>This is an architecture roadmap, not a production security certification, legal opinion, protocol audit, or commitment to deploy a token or public chain. Every deployment stage requires independently reviewed requirements and jurisdiction-appropriate advice.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right"/>
    </w:pPr>
    <w:r>
      <w:rPr>
        <w:rFonts w:ascii="Calibri" w:hAnsi="Calibri"/>
        <w:color w:val="667085"/>
        <w:sz w:val="16"/>
      </w:rPr>
      <w:t xml:space="preserve">Planning draft • July 2026  |  Page </w:t>
    </w:r>
    <w: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/>
        <w:b/>
        <w:color w:val="0B2545"/>
        <w:sz w:val="17"/>
      </w:rPr>
      <w:t xml:space="preserve">CITY/SYNC  |  </w:t>
    </w:r>
    <w:r>
      <w:rPr>
        <w:rFonts w:ascii="Calibri" w:hAnsi="Calibri"/>
        <w:color w:val="667085"/>
        <w:sz w:val="17"/>
      </w:rPr>
      <w:t>L3 AND LOCAL CHAIN ARCHITECTURE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</w:lvl>
  </w:abstractNum>
  <w:num w:numId="109">
    <w:abstractNumId w:val="9"/>
  </w:num>
  <w:abstractNum w:abstractNumId="10">
    <w:multiLevelType w:val="singleLevel"/>
    <w:lvl w:ilvl="0">
      <w:start w:val="1"/>
      <w:numFmt w:val="decimal"/>
      <w:lvlText w:val="%1."/>
      <w:lvlJc w:val="left"/>
      <w:pPr>
        <w:ind w:left="720" w:hanging="360"/>
      </w:pPr>
    </w:lvl>
  </w:abstractNum>
  <w:num w:numId="110">
    <w:abstractNumId w:val="10"/>
  </w:num>
  <w:abstractNum w:abstractNumId="11">
    <w:multiLevelType w:val="singleLevel"/>
    <w:lvl w:ilvl="0">
      <w:start w:val="1"/>
      <w:numFmt w:val="decimal"/>
      <w:lvlText w:val="%1."/>
      <w:lvlJc w:val="left"/>
      <w:pPr>
        <w:ind w:left="720" w:hanging="360"/>
      </w:pPr>
    </w:lvl>
  </w:abstractNum>
  <w:num w:numId="1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80" w:lineRule="auto"/>
      <w:ind w:left="720" w:hanging="360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STitle">
    <w:name w:val="CS Title"/>
    <w:pPr>
      <w:spacing w:before="0" w:after="100"/>
    </w:pPr>
    <w:rPr>
      <w:rFonts w:ascii="Calibri" w:hAnsi="Calibri"/>
      <w:b/>
      <w:color w:val="0B2545"/>
      <w:sz w:val="50"/>
    </w:rPr>
  </w:style>
  <w:style w:type="paragraph" w:customStyle="1" w:styleId="CSSubtitle">
    <w:name w:val="CS Subtitle"/>
    <w:pPr>
      <w:spacing w:after="320"/>
    </w:pPr>
    <w:rPr>
      <w:rFonts w:ascii="Calibri" w:hAnsi="Calibri"/>
      <w:color w:val="667085"/>
      <w:sz w:val="2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CitySync L3 and Local Chain Architecture Roadmap</dc:title>
  <dc:subject>Planning roadmap</dc:subject>
  <dc:creator>City/Sync</dc:creator>
  <cp:keywords/>
  <dc:description>Planning draft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