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STitle"/>
      </w:pPr>
      <w:r>
        <w:t>City/Sync Platform Iteration Roadmap</w:t>
      </w:r>
    </w:p>
    <w:p>
      <w:pPr>
        <w:pStyle w:val="CSSubtitle"/>
      </w:pPr>
      <w:r>
        <w:t>A nonprofit-first volunteer-management strategy, five development paths, and an integrated chronological delivery plan.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Document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Product strategy and development roadmap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Date / Status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July 14, 2026  |  Working roadmap • Decision-oriented draft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STRATEGIC DECISION  </w:t>
            </w:r>
            <w:r>
              <w:rPr>
                <w:rFonts w:ascii="Calibri" w:hAnsi="Calibri"/>
                <w:color w:val="0B2545"/>
                <w:sz w:val="21"/>
              </w:rPr>
              <w:t>Iteration one is a nonprofit volunteer-management product, not a civic-credit launch. City/Sync should win because organizations can run better programs and volunteers can find, complete, and document meaningful service. Credit issuance and on-chain work are later capabilities gated by operational proof.</w:t>
            </w:r>
          </w:p>
        </w:tc>
      </w:tr>
    </w:tbl>
    <w:p/>
    <w:p>
      <w:pPr>
        <w:pStyle w:val="Heading1"/>
      </w:pPr>
      <w:r>
        <w:t>1. Purpose and operating thesis</w:t>
      </w:r>
    </w:p>
    <w:p>
      <w:pPr>
        <w:spacing w:after="120"/>
      </w:pPr>
      <w:r>
        <w:rPr>
          <w:rFonts w:ascii="Calibri" w:hAnsi="Calibri"/>
          <w:color w:val="1F2937"/>
        </w:rPr>
        <w:t>City/Sync should begin as a standard, location-agnostic volunteer-management application for nonprofits, service organizations, and community programs. An organization should be able to use the platform whether it operates in Berkeley, Mexico City, or a new city. A new city is an operating and data boundary: City/Sync creates an independent city database for that local network while preserving a person’s single platform identity and their voluntary participation choices.</w:t>
      </w:r>
    </w:p>
    <w:p>
      <w:pPr>
        <w:spacing w:after="120"/>
      </w:pPr>
      <w:r>
        <w:rPr>
          <w:rFonts w:ascii="Calibri" w:hAnsi="Calibri"/>
          <w:color w:val="1F2937"/>
        </w:rPr>
        <w:t>The product sequence is deliberate. The platform first earns the right to be infrastructure by removing real administrative work: coordinating people, proving participation, reporting activity, protecting volunteers, and giving organizations usable local visibility. The platform must not require a volunteer to understand wallets, credit policy, or blockchain before it is useful.</w:t>
      </w:r>
    </w:p>
    <w:p>
      <w:pPr>
        <w:pStyle w:val="Heading2"/>
      </w:pPr>
      <w:r>
        <w:t>1.1 Product principles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Nonprofit utility before network effects. A single organization must receive durable value even if it is the first organization in a city.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City-local data and policy. Operational/credit records belong to a city domain; city balances, credit policy, and local operators never silently bleed into another city.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Consent, minimization, and portability. Share a proof only when the individual has consented and the receiving organization has a legitimate, policy-defined need.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Evidence by default. Every material workflow should produce an understandable audit trail, export, and clear owner rather than a black-box score.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Human-operable systems. A small nonprofit must be able to use the product without a technical administrator.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Mobile before civic credits. Native mobile reliability and field workflow quality are prerequisites to any broad credit issuance or redemption program.</w:t>
      </w:r>
    </w:p>
    <w:p>
      <w:pPr>
        <w:pStyle w:val="Heading2"/>
      </w:pPr>
      <w:r>
        <w:t>1.2 What exists to build upon</w:t>
      </w:r>
    </w:p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1. Current platform baseline and the intended first-iteration emphasis.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520"/>
        <w:gridCol w:w="394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Area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Current planning baseline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Iteration-one direction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Organization operations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Opportunity catalog, volunteer roster, reports, waiver workflow, delegated organization roles and an organization-facing workspace.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Become the daily operating system for a nonprofit volunteer program: schedule, communicate, train, report, retain, and fundraise.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Participant experience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Participant account, opportunities, interests, resume, city membership, feed, and a private identity model.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Make joining, returning, and proving contribution simple without requiring a wallet, credit, or technical literacy.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 model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Central control-plane records plus a separate SQLite/libSQL-compatible city ledger database for each city.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Accept any nonprofit location; create a new independent city database whenever an organization launches a new local operating context.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Integrity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Append-only city event chain, public ledger view, Merkle-anchor model, and city-scoped credit ledger foundations.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Use integrity records first for auditable operations; defer civic-credit economics until adoption, mobile, policy, and redemption readiness are demonstrated.</w:t>
            </w:r>
          </w:p>
        </w:tc>
      </w:tr>
    </w:tbl>
    <w:p/>
    <w:p>
      <w:pPr>
        <w:pStyle w:val="Heading1"/>
      </w:pPr>
      <w:r>
        <w:t>2. Initial rollout: the nonprofit volunteer-management standard</w:t>
      </w:r>
    </w:p>
    <w:p>
      <w:pPr>
        <w:spacing w:after="120"/>
      </w:pPr>
      <w:r>
        <w:rPr>
          <w:rFonts w:ascii="Calibri" w:hAnsi="Calibri"/>
          <w:color w:val="1F2937"/>
        </w:rPr>
        <w:t>The first market is not “a city.” It is an organization with a volunteer program and recurring coordination work. The first sales and adoption motion should be design-partner led: enroll a small number of mission-diverse organizations, migrate one live program at a time, measure the administrative burden before and after, and convert the repeatable implementation pattern into product defaults.</w:t>
      </w:r>
    </w:p>
    <w:p>
      <w:pPr>
        <w:pStyle w:val="Heading2"/>
      </w:pPr>
      <w:r>
        <w:t>2.1 Launch package for every organization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Organization identity and public profile: mission, programs, locations, cause areas, contact channel, accessibility information, volunteer expectations, and approval owners.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Opportunity operations: reusable templates, recurring shifts, capacity, eligibility, onboarding sessions, waitlists, check-in/out, no-show handling, cancellation windows, and attendance evidence.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Volunteer lifecycle: discovery, application/claim, waiver, training, screening-status eligibility, communication preferences, contribution history, portable resume, and account recovery.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Communication: organization-to-volunteer announcements, shift reminders, updates, urgent cancellation notices, targeted groups, delivery status, opt-in/opt-out enforcement, and bilingual or multilingual templates where needed.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Management: delegated roles, least-privilege permissions, activity log, export, dispute/escalation process, data retention controls, and support tooling.</w:t>
      </w:r>
    </w:p>
    <w:p>
      <w:pPr>
        <w:pStyle w:val="Heading2"/>
      </w:pPr>
      <w:r>
        <w:t>2.2 First-iteration definition of done</w:t>
      </w:r>
    </w:p>
    <w:p>
      <w:pPr>
        <w:spacing w:after="120"/>
      </w:pPr>
      <w:r>
        <w:rPr>
          <w:rFonts w:ascii="Calibri" w:hAnsi="Calibri"/>
          <w:color w:val="1F2937"/>
        </w:rPr>
        <w:t>An organization is ready to expand its City/Sync use when it can create an onboarding session, publish opportunities, fill and confirm shifts, message the right volunteers, collect waivers/training acknowledgements, verify completion, export a funder-ready report, and remove or delegate staff access without support intervention. The outcome is not a feature checklist; it is an operating loop completed repeatedly by a real organization.</w:t>
      </w:r>
    </w:p>
    <w:p>
      <w:pPr>
        <w:pStyle w:val="Heading2"/>
      </w:pPr>
      <w:r>
        <w:t>2.3 Critical cross-cutting work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Accessibility: keyboard-operable workflows, readable contrast, semantic labels, screen-reader testing, language expansion strategy, and no workflow that depends only on color or hover state.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Trust and safety: organization verification, abuse reporting, moderation queue, volunteer/organization blocking, incident escalation, suspension/appeal process, and documented response times.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Reliability: backups, restore drills, migration discipline, change audit, monitoring, error capture, data export, and a city-provisioning checklist.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Privacy and security: data inventory, purpose/retention matrix, encryption, secrets management, access review, rate limits, secure uploads, breach response plan, and vendor risk register.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Interoperability: CSV import/export first, then clean APIs/webhooks for CRM, scheduling, screening, payment, identity, and email/SMS providers.</w:t>
      </w:r>
    </w:p>
    <w:p>
      <w:pPr>
        <w:pStyle w:val="Heading1"/>
      </w:pPr>
      <w:r>
        <w:t>3. Development path 1 — Nonprofit Optimization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PRODUCT POSITION  </w:t>
            </w:r>
            <w:r>
              <w:rPr>
                <w:rFonts w:ascii="Calibri" w:hAnsi="Calibri"/>
                <w:color w:val="0B2545"/>
                <w:sz w:val="21"/>
              </w:rPr>
              <w:t>City/Sync should be an evidence and operations layer for nonprofit work. It should prepare and organize compliance materials; it should not claim to be a law firm, accounting firm, background-check agency, or IRS e-file provider.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3. Nonprofit Optimization roadmap.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000"/>
        <w:gridCol w:w="4200"/>
        <w:gridCol w:w="31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Capability family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Release path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Definition of value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Compliance workspace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Start with trusted reporting exports and evidence folders; add reporting templates; then offer reviewed integrations with specialist filing providers rather than claiming City/Sync itself files returns.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 program manager can assemble auditable activity, volunteer, waiver, training, donation, and grant evidence in hours rather than reconstructing it from spreadsheets.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Consent-based screening portability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Connect to qualified screening vendors; store consent, verification status, scope, expiry, and organization acceptance—not raw reports by default.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 volunteer can reuse an eligible screening claim where a receiving organization’s policy accepts it, while each organization retains its own hiring/placement decision.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Organization configuration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Roles, form builder, field rules, templates, branding, opportunity types, approval steps, integrations, and data-retention settings.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Organizations can adapt the operating workflow without unsafe custom code or breaking shared platform controls.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Donations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Hosted checkout and receipt handoff first; then recurring giving, campaign attribution, platform-fee disclosure, reconciliation, and finance exports.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 donor can support an organization in context, while the organization remains merchant/charity of record and receives a clean financial record.</w:t>
            </w:r>
          </w:p>
        </w:tc>
      </w:tr>
    </w:tbl>
    <w:p/>
    <w:p>
      <w:pPr>
        <w:pStyle w:val="Heading2"/>
      </w:pPr>
      <w:r>
        <w:t>3.1 Compliance reporting roadmap</w:t>
      </w:r>
    </w:p>
    <w:p>
      <w:pPr>
        <w:spacing w:after="120"/>
      </w:pPr>
      <w:r>
        <w:rPr>
          <w:rFonts w:ascii="Calibri" w:hAnsi="Calibri"/>
          <w:color w:val="1F2937"/>
        </w:rPr>
        <w:t>The compliance workspace should be built as an evidence system, not a static PDF generator. Every report needs provenance: source records, date range, organization scope, reviewer, export timestamp, and retained version. Create modules in this order: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Operational evidence pack: volunteer hours, attendance, waiver versions, training acknowledgements, opportunity outcomes, incident counts, staff verification, and program narrative fields.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Funder and grant reports: reusable grant profiles, output/outcome indicators, budget categories, restricted-fund tags, reporting calendar, evidence attachments, and shareable report links with expiration.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Governance and audit readiness: board-ready dashboard exports, policy acknowledgements, delegated authority history, document retention, change log, and access review report.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Finance-adjacent reporting: donation/payout reconciliation imports, in-kind contributions, campaign attribution, and accounting export mappings.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Specialist integrations: a reviewed connection to accounting, fundraising, or approved return-preparation providers. The organization or its authorized tax professional remains responsible for formal filing. U.S. Form 990 workflows should be treated as structured preparation and evidence export; the IRS requires e-file for relevant Form 990 filings and uses approved filing pathways [S1].</w:t>
      </w:r>
    </w:p>
    <w:p>
      <w:pPr>
        <w:pStyle w:val="Heading2"/>
      </w:pPr>
      <w:r>
        <w:t>3.2 Shared background-check and credential model</w:t>
      </w:r>
    </w:p>
    <w:p>
      <w:pPr>
        <w:spacing w:after="120"/>
      </w:pPr>
      <w:r>
        <w:rPr>
          <w:rFonts w:ascii="Calibri" w:hAnsi="Calibri"/>
          <w:color w:val="1F2937"/>
        </w:rPr>
        <w:t>Do not create a raw background-check marketplace. The defensible model is a consent-based credential exchange. A qualified screening provider performs the underlying check. City/Sync stores the smallest possible reusable claim: provider identity, consent record, check type/scope, completion date, expiry/renewal date, disposition/eligibility status, and the receiving organization’s acceptance decision.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The volunteer authorizes disclosure to each receiving organization or chooses a time-bound share link.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Each organization sets its own policy: which role needs which check, which provider is acceptable, expiry, exceptions, and who may review a claim.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The organization retains the placement decision. A “verified” claim never guarantees acceptance, employment, or safety.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Raw reports, adverse-action documentation, identity documents, and sensitive source data should remain with the screening provider unless counsel and a documented lawful basis require a different design.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The product needs revocation, expiry, correction/appeal routing, access logs, purpose limitation, country/state policy packs, and a “do not share” default for sensitive credentials.</w:t>
      </w:r>
    </w:p>
    <w:p>
      <w:pPr>
        <w:pStyle w:val="Heading2"/>
      </w:pPr>
      <w:r>
        <w:t>3.3 Organization customization</w:t>
      </w:r>
    </w:p>
    <w:p>
      <w:pPr>
        <w:spacing w:after="120"/>
      </w:pPr>
      <w:r>
        <w:rPr>
          <w:rFonts w:ascii="Calibri" w:hAnsi="Calibri"/>
          <w:color w:val="1F2937"/>
        </w:rPr>
        <w:t>Build configuration as constrained product primitives, not per-customer forks. Priority order: branded public profile; custom fields; application and onboarding forms; opportunity templates; eligibility rules; waiver/training requirements; role permissions; message templates; report templates; team/groupings; approval workflow; integration settings; and retention policy. Every configurable item needs versioning, preview, permission, and a safe default.</w:t>
      </w:r>
    </w:p>
    <w:p>
      <w:pPr>
        <w:pStyle w:val="Heading2"/>
      </w:pPr>
      <w:r>
        <w:t>3.4 Donations and supporter operations</w:t>
      </w:r>
    </w:p>
    <w:p>
      <w:pPr>
        <w:spacing w:after="120"/>
      </w:pPr>
      <w:r>
        <w:rPr>
          <w:rFonts w:ascii="Calibri" w:hAnsi="Calibri"/>
          <w:color w:val="1F2937"/>
        </w:rPr>
        <w:t>The first donation release should link an opportunity or organization profile to a hosted checkout operated by an established payment provider. The organization is the charitable recipient/merchant or connected account; City/Sync is the platform. Show the organization name, recipient, amount, processing fee, optional platform fee, refund/contact path, privacy notice, and receipt expectations before payment. A 1–2% platform fee can be viable later, but only if it is separately disclosed, configurable where required, reconciled, and supported by the processor’s platform fee tooling [S2].</w:t>
      </w:r>
    </w:p>
    <w:p>
      <w:pPr>
        <w:spacing w:after="120"/>
      </w:pPr>
      <w:r>
        <w:rPr>
          <w:rFonts w:ascii="Calibri" w:hAnsi="Calibri"/>
          <w:color w:val="1F2937"/>
        </w:rPr>
        <w:t>Subsequent releases: recurring donations; campaign pages; team fundraising; donor receipt handoff; sponsor matching; grant/donor attribution; payout and refund reconciliation; accounting exports; fraud/dispute controls; and finance-role permissions. Never commingle organization donations with civic-credit balances.</w:t>
      </w:r>
    </w:p>
    <w:p>
      <w:pPr>
        <w:pStyle w:val="Heading2"/>
      </w:pPr>
      <w:r>
        <w:t>3.5 Additional nonprofit features to add to the roadmap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Shift scheduling, waitlists, recurring availability, check-in modes, QR/manual fallback, and program-site capacity controls.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Volunteer training library, certification acknowledgement, expiry reminders, and supervisor sign-off.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Case/program outcomes with a sensitive-data classification layer; do not place client-level confidential data into general volunteer feeds.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Organization CRM integrations, volunteer imports, duplicate resolution, and lifecycle segments.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Volunteer recognition: service milestones, endorsements, letters, exportable history, and non-monetary badges before credits.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Incident and safeguarding workflows: confidential report intake, triage owners, restricted visibility, evidence retention, and a clear “not an emergency service” notice.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Procurement and partner support: document vault, sponsor deliverables, vendor contacts, and location/site requirements.</w:t>
      </w:r>
    </w:p>
    <w:p>
      <w:pPr>
        <w:pStyle w:val="Heading1"/>
      </w:pPr>
      <w:r>
        <w:t>4. Development path 2 — MyCity Feed Development</w:t>
      </w:r>
    </w:p>
    <w:p>
      <w:pPr>
        <w:spacing w:after="120"/>
      </w:pPr>
      <w:r>
        <w:rPr>
          <w:rFonts w:ascii="Calibri" w:hAnsi="Calibri"/>
          <w:color w:val="1F2937"/>
        </w:rPr>
        <w:t>The MyCity Feed should be a useful local coordination surface, not an unmoderated social network. Its job is to help a person decide what is happening, what they can do next, and which local organizations they can trust.</w:t>
      </w:r>
    </w:p>
    <w:p>
      <w:pPr>
        <w:pStyle w:val="Heading2"/>
      </w:pPr>
      <w:r>
        <w:t>4.1 Feed progression</w:t>
      </w:r>
    </w:p>
    <w:p>
      <w:pPr>
        <w:keepLines/>
        <w:spacing w:after="80" w:line="280" w:lineRule="auto"/>
        <w:ind w:left="720" w:hanging="360"/>
        <w:numPr>
          <w:ilvl w:val="0"/>
          <w:numId w:val="112"/>
        </w:numPr>
      </w:pPr>
      <w:r>
        <w:rPr>
          <w:rFonts w:ascii="Calibri" w:hAnsi="Calibri"/>
          <w:color w:val="1F2937"/>
        </w:rPr>
        <w:t>Utility feed: verified organization updates, newly published opportunities, changes/cancellations, onboarding sessions, saved-interest matches, waivers/training reminders, and local city notices.</w:t>
      </w:r>
    </w:p>
    <w:p>
      <w:pPr>
        <w:keepLines/>
        <w:spacing w:after="80" w:line="280" w:lineRule="auto"/>
        <w:ind w:left="720" w:hanging="360"/>
        <w:numPr>
          <w:ilvl w:val="0"/>
          <w:numId w:val="112"/>
        </w:numPr>
      </w:pPr>
      <w:r>
        <w:rPr>
          <w:rFonts w:ascii="Calibri" w:hAnsi="Calibri"/>
          <w:color w:val="1F2937"/>
        </w:rPr>
        <w:t>Relevance controls: city selector, cause filters, follow/saved organizations, notification preferences, “why am I seeing this?” explanations, mute/report controls, and chronological fallback.</w:t>
      </w:r>
    </w:p>
    <w:p>
      <w:pPr>
        <w:keepLines/>
        <w:spacing w:after="80" w:line="280" w:lineRule="auto"/>
        <w:ind w:left="720" w:hanging="360"/>
        <w:numPr>
          <w:ilvl w:val="0"/>
          <w:numId w:val="112"/>
        </w:numPr>
      </w:pPr>
      <w:r>
        <w:rPr>
          <w:rFonts w:ascii="Calibri" w:hAnsi="Calibri"/>
          <w:color w:val="1F2937"/>
        </w:rPr>
        <w:t>Local news partnerships: licensed feeds or explicit publisher integrations, attribution, publisher profile, link-out traffic, content category, correction handling, rights terms, and no scraping assumption. Editorial partner content must be visually distinct from organization posts.</w:t>
      </w:r>
    </w:p>
    <w:p>
      <w:pPr>
        <w:keepLines/>
        <w:spacing w:after="80" w:line="280" w:lineRule="auto"/>
        <w:ind w:left="720" w:hanging="360"/>
        <w:numPr>
          <w:ilvl w:val="0"/>
          <w:numId w:val="112"/>
        </w:numPr>
      </w:pPr>
      <w:r>
        <w:rPr>
          <w:rFonts w:ascii="Calibri" w:hAnsi="Calibri"/>
          <w:color w:val="1F2937"/>
        </w:rPr>
        <w:t>Civic utility: local resource directories, transit/access notes, event calendars, public-service alerts, volunteer skill calls, and verified collaboration requests.</w:t>
      </w:r>
    </w:p>
    <w:p>
      <w:pPr>
        <w:keepLines/>
        <w:spacing w:after="80" w:line="280" w:lineRule="auto"/>
        <w:ind w:left="720" w:hanging="360"/>
        <w:numPr>
          <w:ilvl w:val="0"/>
          <w:numId w:val="112"/>
        </w:numPr>
      </w:pPr>
      <w:r>
        <w:rPr>
          <w:rFonts w:ascii="Calibri" w:hAnsi="Calibri"/>
          <w:color w:val="1F2937"/>
        </w:rPr>
        <w:t>Advertising only after trust: labeled sponsorship inventory, local category rules, organization/city approval, frequency limits, no sale of sensitive volunteer data, no targeting based on screening/waiver/identity data, and a clear separation from editorial/public-service content.</w:t>
      </w:r>
    </w:p>
    <w:p>
      <w:pPr>
        <w:pStyle w:val="Heading2"/>
      </w:pPr>
      <w:r>
        <w:t>4.2 Better user experience investments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One-tap next actions from every card: sign up, save, add to calendar, share, contact, donate, complete waiver, or learn eligibility.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Persistent local context: city, accessibility needs, language, availability, causes, and transportation preferences belong in user-controlled settings, not opaque ranking.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Clear status system: draft, open, waitlist, claimed, cancelled, completed, and needs-action states must look and behave consistently.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Compose once, distribute intelligently: organizations publish an update that can reach profile, feed, opportunity followers, selected volunteer groups, and email/push only with an explicit audience review.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Measurement: qualified opportunity views, save-to-claim conversion, reminder-to-check-in conversion, time to fill, return volunteer rate, negative feedback, report rate, and publisher referral quality.</w:t>
      </w:r>
    </w:p>
    <w:p>
      <w:pPr>
        <w:pStyle w:val="Heading1"/>
      </w:pPr>
      <w:r>
        <w:t>5. Development path 3 — Ledger Development</w:t>
      </w:r>
    </w:p>
    <w:p>
      <w:pPr>
        <w:spacing w:after="120"/>
      </w:pPr>
      <w:r>
        <w:rPr>
          <w:rFonts w:ascii="Calibri" w:hAnsi="Calibri"/>
          <w:color w:val="1F2937"/>
        </w:rPr>
        <w:t>The ledger path should first make operational history verifiable; it should not prematurely introduce financial-like behavior. City/Sync already has the right foundational direction: a city-scoped append-only event chain, city-local wallet/credit tables, and a public verification view. Keep a hard distinction between an event record, a non-transferable recognition credit, a redeemable benefit, and any future on-chain token.</w:t>
      </w:r>
    </w:p>
    <w:p>
      <w:pPr>
        <w:pStyle w:val="Heading2"/>
      </w:pPr>
      <w:r>
        <w:t>5.1 Ledger roadmap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Integrity release: canonical event schema, actor/role attribution, idempotency keys, hash-chain verification, redaction-safe payload rules, data export, independent verifier, and operational dashboards for broken-chain or reconciliation conditions.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Private credit sandbox: city-specific issuance rules, caps, expiry policy, issuance review, burn/redemption state machine, duplicate prevention, reversing/error policy, red-team abuse testing, and reports for city operators.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Controlled redemption: approved redeemers, inventory/reimbursement rules, receipt evidence, dispute path, merchant/operator roles, pause switch, reserve/liability reporting, and no automatic cross-city transfer.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External proof: periodic Merkle roots, anchor registry, public proof bundle, and reproducible audit instructions. Anchor only hashes and non-sensitive metadata; never raw volunteer, waiver, or screening data.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Contract replay/testnet: replay verified historical events into a contract model using explicit event IDs and dual-hash/mapping rules. This is an audit/proof pilot before any authoritative on-chain balance.</w:t>
      </w:r>
    </w:p>
    <w:p>
      <w:pPr>
        <w:pStyle w:val="Heading2"/>
      </w:pPr>
      <w:r>
        <w:t>5.2 Policy gates before credits</w:t>
      </w:r>
    </w:p>
    <w:p>
      <w:pPr>
        <w:spacing w:after="120"/>
      </w:pPr>
      <w:r>
        <w:rPr>
          <w:rFonts w:ascii="Calibri" w:hAnsi="Calibri"/>
          <w:color w:val="1F2937"/>
        </w:rPr>
        <w:t>Credits should not leave a single-city controlled pilot until the city has a written issuance policy, defined redeemable benefit, fiscal/accounting treatment, legal review, funder/organization consent, fraud/reversal procedure, participant disclosure, support playbook, and independent review of the ledger verifier. If any of these are missing, keep the feature as non-monetary recognition.</w:t>
      </w:r>
    </w:p>
    <w:p>
      <w:pPr>
        <w:pStyle w:val="Heading1"/>
      </w:pPr>
      <w:r>
        <w:t>6. Development path 4 — Admin Management</w:t>
      </w:r>
    </w:p>
    <w:p>
      <w:pPr>
        <w:spacing w:after="120"/>
      </w:pPr>
      <w:r>
        <w:rPr>
          <w:rFonts w:ascii="Calibri" w:hAnsi="Calibri"/>
          <w:color w:val="1F2937"/>
        </w:rPr>
        <w:t>Admin management must grow from “site administration” into a control plane for a network of independent local operations. It should empower local operators while preventing invisible cross-city access.</w:t>
      </w:r>
    </w:p>
    <w:p>
      <w:pPr>
        <w:pStyle w:val="Heading2"/>
      </w:pPr>
      <w:r>
        <w:t>6.1 Admin roadmap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City lifecycle: city application intake, sponsor organization review, independent database provisioning, city metadata, operational owner assignment, launch checklist, pause/archive, and transfer of stewardship.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Organization lifecycle: verification queue, status policy, city onboarding, account recovery, organization split/merge, local-location accounts, parent relationship, and contract/renewal metadata.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Identity and authority: role templates, delegated account lifecycle, invite audit, access review, owner transfer, emergency lockout, and employee departure checklist.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Oversight: moderation, safety incidents, abuse/fraud signals, data-access review, support cases, audit exports, policy acknowledgement, and a transparent internal action log.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Operations: feature flags by city, release cohort management, migration health, backups/restores, usage analytics, SLA monitoring, support knowledge base, and cost reporting by city.</w:t>
      </w:r>
    </w:p>
    <w:p>
      <w:pPr>
        <w:pStyle w:val="Heading2"/>
      </w:pPr>
      <w:r>
        <w:t>6.2 Administrative decision rights</w:t>
      </w:r>
    </w:p>
    <w:p>
      <w:pPr>
        <w:spacing w:after="120"/>
      </w:pPr>
      <w:r>
        <w:rPr>
          <w:rFonts w:ascii="Calibri" w:hAnsi="Calibri"/>
          <w:color w:val="1F2937"/>
        </w:rPr>
        <w:t>Platform administrators govern shared software, security, and city creation. City administrators govern local operating policy and city-level access. Organizations govern their own people, opportunities, and program rules. No role should inherit permissions merely because it exists in a different city, parent organization, or personal account context.</w:t>
      </w:r>
    </w:p>
    <w:p>
      <w:pPr>
        <w:pStyle w:val="Heading1"/>
      </w:pPr>
      <w:r>
        <w:t>7. Development path 5 — Mobile Application</w:t>
      </w:r>
    </w:p>
    <w:p>
      <w:pPr>
        <w:spacing w:after="120"/>
      </w:pPr>
      <w:r>
        <w:rPr>
          <w:rFonts w:ascii="Calibri" w:hAnsi="Calibri"/>
          <w:color w:val="1F2937"/>
        </w:rPr>
        <w:t>Build native mobile after the core browser workflow is field-proven, but before launching civic credits. A mobile app is not a visual port; it must solve the moments that occur away from a desk: discovering a nearby shift, receiving a change notice, navigating, checking in, proving training, contacting a coordinator, and recovering access.</w:t>
      </w:r>
    </w:p>
    <w:p>
      <w:pPr>
        <w:pStyle w:val="Heading2"/>
      </w:pPr>
      <w:r>
        <w:t>7.1 Mobile roadmap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Product and technical foundation: responsive web/PWA baseline, shared design tokens, API contract audit, accessibility test plan, push-notification architecture, offline/error states, analytics consent, and secure session/account recovery.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Field prototype: participant discovery, calendar, claim/cancel, waiver acknowledgement, messages, QR/manual check-in, profile/resume, city switcher, and limited offline cache.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Organization companion: shift roster, attendance verification, urgent update, volunteer lookup, group message, incident handoff, and approved manager actions with strong audit prompts.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Native release: iOS and Android distribution, device testing, localization, app-store privacy disclosures, accessibility review, crash monitoring, support/contact path, and staged rollout.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Mobile hardening: offline conflict handling, check-in retry/idempotency, push delivery observability, low-bandwidth performance, device loss/session revocation, and field usability research across different ability and language contexts.</w:t>
      </w:r>
    </w:p>
    <w:p>
      <w:pPr>
        <w:pStyle w:val="Heading1"/>
      </w:pPr>
      <w:r>
        <w:t>8. Integrated chronological roadmap</w:t>
      </w:r>
    </w:p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2. Integrated sequencing. Horizons are planning windows, not promises; a gate can hold a later phase.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4380"/>
        <w:gridCol w:w="313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Phase / horizon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Primary delivery</w:t>
            </w:r>
          </w:p>
        </w:tc>
        <w:tc>
          <w:tcPr>
            <w:tcW w:type="dxa" w:w="3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Exit gate before advancing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0 — Foundation (0–3 months)</w:t>
            </w:r>
          </w:p>
        </w:tc>
        <w:tc>
          <w:tcPr>
            <w:tcW w:type="dxa" w:w="438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Production hardening, city provisioning runbook, design-partner onboarding, instrumentation, privacy/security baseline, reliable volunteer scheduling and communication.</w:t>
            </w:r>
          </w:p>
        </w:tc>
        <w:tc>
          <w:tcPr>
            <w:tcW w:type="dxa" w:w="313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Three to five organizations use the platform weekly; no critical data-loss, identity, or authorization issues; support and backup runbooks exercised.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1 — Nonprofit operating system (3–9 months)</w:t>
            </w:r>
          </w:p>
        </w:tc>
        <w:tc>
          <w:tcPr>
            <w:tcW w:type="dxa" w:w="438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Compliance workspace, scheduling/check-in, training, team communication, customizable fields/forms, exports, organization integrations, accessible multilingual experience.</w:t>
            </w:r>
          </w:p>
        </w:tc>
        <w:tc>
          <w:tcPr>
            <w:tcW w:type="dxa" w:w="313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Organizations renew because core administrative work is reduced; report preparation time and volunteer attendance improve against a documented baseline.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2 — Local utility and mobile readiness (6–12 months)</w:t>
            </w:r>
          </w:p>
        </w:tc>
        <w:tc>
          <w:tcPr>
            <w:tcW w:type="dxa" w:w="438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Useful MyCity feed, licensed local-news partnerships, organization discovery improvements, mobile design system/PWA, native-app discovery and prototype.</w:t>
            </w:r>
          </w:p>
        </w:tc>
        <w:tc>
          <w:tcPr>
            <w:tcW w:type="dxa" w:w="313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Feed quality and utility meet retention targets; mobile workflows are validated in field tests; no civic-credit dependency exists.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3 — Native mobile release (12–18 months)</w:t>
            </w:r>
          </w:p>
        </w:tc>
        <w:tc>
          <w:tcPr>
            <w:tcW w:type="dxa" w:w="438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Full iOS/Android application, push notifications, offline-tolerant check-in, accessibility, account recovery, volunteer profile/resume portability.</w:t>
            </w:r>
          </w:p>
        </w:tc>
        <w:tc>
          <w:tcPr>
            <w:tcW w:type="dxa" w:w="313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Mobile adoption is material and operationally stable; organizations can complete volunteer management without requiring a browser.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4 — Private city-credit pilot (18–24 months)</w:t>
            </w:r>
          </w:p>
        </w:tc>
        <w:tc>
          <w:tcPr>
            <w:tcW w:type="dxa" w:w="438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Policy-controlled credit issuance and redemption in one city on the private city ledger, merchant/redeemer controls, reconciliation, abuse monitoring.</w:t>
            </w:r>
          </w:p>
        </w:tc>
        <w:tc>
          <w:tcPr>
            <w:tcW w:type="dxa" w:w="313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Independent policy review, financial/legal assessment, low dispute rate, tested pause/reversal procedure, and no cross-city credit leakage.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5 — Public integrity and protocol pilot (24–36 months)</w:t>
            </w:r>
          </w:p>
        </w:tc>
        <w:tc>
          <w:tcPr>
            <w:tcW w:type="dxa" w:w="438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External anchoring, reproducible verifier, testnet contract replay, independent technical/security review, L3 feasibility decision.</w:t>
            </w:r>
          </w:p>
        </w:tc>
        <w:tc>
          <w:tcPr>
            <w:tcW w:type="dxa" w:w="313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Anchored events are reproducible from exports; cost and governance model are approved; a city operator cohort commits to pilot responsibilities.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6 — Network scale (36+ months)</w:t>
            </w:r>
          </w:p>
        </w:tc>
        <w:tc>
          <w:tcPr>
            <w:tcW w:type="dxa" w:w="438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Additional city deployments, municipal packages, governed local-chain pilots only where justified by scale and public-interest need.</w:t>
            </w:r>
          </w:p>
        </w:tc>
        <w:tc>
          <w:tcPr>
            <w:tcW w:type="dxa" w:w="313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Each expansion has a named operating owner, independent data domain, sustainable budget, and measurable nonprofit/community outcome.</w:t>
            </w:r>
          </w:p>
        </w:tc>
      </w:tr>
    </w:tbl>
    <w:p/>
    <w:p>
      <w:pPr>
        <w:pStyle w:val="Heading1"/>
      </w:pPr>
      <w:r>
        <w:t>9. Measurement, governance, and backlog discipline</w:t>
      </w:r>
    </w:p>
    <w:p>
      <w:pPr>
        <w:pStyle w:val="Heading2"/>
      </w:pPr>
      <w:r>
        <w:t>9.1 Core scorecard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Organization activation: time from sign-up to first published opportunity, first filled shift, first verified completion, and first report export.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Retention and value: weekly active managers, monthly active volunteers, 90-day organization retention, opportunities filled, verified hours, recurring volunteer rate, and support time per organization.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Quality and trust: cancellation/no-show rate, waiver/training compliance, incident resolution time, duplicate-account rate, permission-review completion, and data-export/restore drill success.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City health: active organizations, active volunteers, local operator response time, city database health, adoption by new organization, and recurring local revenue or funding coverage.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Feed health: useful-action rate, save-to-claim conversion, report/mute rate, publisher partner performance, and ad/sponsorship quality if introduced.</w:t>
      </w:r>
    </w:p>
    <w:p>
      <w:pPr>
        <w:pStyle w:val="Heading2"/>
      </w:pPr>
      <w:r>
        <w:t>9.2 Prioritization rule</w:t>
      </w:r>
    </w:p>
    <w:p>
      <w:pPr>
        <w:spacing w:after="120"/>
      </w:pPr>
      <w:r>
        <w:rPr>
          <w:rFonts w:ascii="Calibri" w:hAnsi="Calibri"/>
          <w:color w:val="1F2937"/>
        </w:rPr>
        <w:t>Prioritize a feature only when it improves one of three jobs: run a volunteer program, participate with confidence, or operate a city safely. A feature that creates a new category of sensitive data, payment liability, or local governance burden must include its policy, owner, analytics, support, and rollback work in the same roadmap item.</w:t>
      </w:r>
    </w:p>
    <w:p>
      <w:pPr>
        <w:pStyle w:val="Heading2"/>
      </w:pPr>
      <w:r>
        <w:t>9.3 Decisions required in the next planning cycle</w:t>
      </w:r>
    </w:p>
    <w:p>
      <w:pPr>
        <w:keepLines/>
        <w:spacing w:after="80" w:line="280" w:lineRule="auto"/>
        <w:ind w:left="720" w:hanging="360"/>
        <w:numPr>
          <w:ilvl w:val="0"/>
          <w:numId w:val="113"/>
        </w:numPr>
      </w:pPr>
      <w:r>
        <w:rPr>
          <w:rFonts w:ascii="Calibri" w:hAnsi="Calibri"/>
          <w:color w:val="1F2937"/>
        </w:rPr>
        <w:t>Select the first 3–5 nonprofit design partners and define their shared success measures.</w:t>
      </w:r>
    </w:p>
    <w:p>
      <w:pPr>
        <w:keepLines/>
        <w:spacing w:after="80" w:line="280" w:lineRule="auto"/>
        <w:ind w:left="720" w:hanging="360"/>
        <w:numPr>
          <w:ilvl w:val="0"/>
          <w:numId w:val="113"/>
        </w:numPr>
      </w:pPr>
      <w:r>
        <w:rPr>
          <w:rFonts w:ascii="Calibri" w:hAnsi="Calibri"/>
          <w:color w:val="1F2937"/>
        </w:rPr>
        <w:t>Choose the initial compliance-report scope: grant reporting, operational evidence, and board/audit exports before IRS filing integrations.</w:t>
      </w:r>
    </w:p>
    <w:p>
      <w:pPr>
        <w:keepLines/>
        <w:spacing w:after="80" w:line="280" w:lineRule="auto"/>
        <w:ind w:left="720" w:hanging="360"/>
        <w:numPr>
          <w:ilvl w:val="0"/>
          <w:numId w:val="113"/>
        </w:numPr>
      </w:pPr>
      <w:r>
        <w:rPr>
          <w:rFonts w:ascii="Calibri" w:hAnsi="Calibri"/>
          <w:color w:val="1F2937"/>
        </w:rPr>
        <w:t>Define the screening credential policy with counsel and a qualified screening provider before any cross-organization sharing.</w:t>
      </w:r>
    </w:p>
    <w:p>
      <w:pPr>
        <w:keepLines/>
        <w:spacing w:after="80" w:line="280" w:lineRule="auto"/>
        <w:ind w:left="720" w:hanging="360"/>
        <w:numPr>
          <w:ilvl w:val="0"/>
          <w:numId w:val="113"/>
        </w:numPr>
      </w:pPr>
      <w:r>
        <w:rPr>
          <w:rFonts w:ascii="Calibri" w:hAnsi="Calibri"/>
          <w:color w:val="1F2937"/>
        </w:rPr>
        <w:t>Decide donation processor and legal/financial operating model before exposing platform fees.</w:t>
      </w:r>
    </w:p>
    <w:p>
      <w:pPr>
        <w:keepLines/>
        <w:spacing w:after="80" w:line="280" w:lineRule="auto"/>
        <w:ind w:left="720" w:hanging="360"/>
        <w:numPr>
          <w:ilvl w:val="0"/>
          <w:numId w:val="113"/>
        </w:numPr>
      </w:pPr>
      <w:r>
        <w:rPr>
          <w:rFonts w:ascii="Calibri" w:hAnsi="Calibri"/>
          <w:color w:val="1F2937"/>
        </w:rPr>
        <w:t>Create the mobile product requirements and validate them through live field observation before choosing a native implementation stack.</w:t>
      </w:r>
    </w:p>
    <w:p>
      <w:pPr>
        <w:keepLines/>
        <w:spacing w:after="80" w:line="280" w:lineRule="auto"/>
        <w:ind w:left="720" w:hanging="360"/>
        <w:numPr>
          <w:ilvl w:val="0"/>
          <w:numId w:val="113"/>
        </w:numPr>
      </w:pPr>
      <w:r>
        <w:rPr>
          <w:rFonts w:ascii="Calibri" w:hAnsi="Calibri"/>
          <w:color w:val="1F2937"/>
        </w:rPr>
        <w:t>Write the city-provisioning, backup, restore, and escalation runbooks before adding cities at scale.</w:t>
      </w:r>
    </w:p>
    <w:p>
      <w:pPr>
        <w:pStyle w:val="Heading1"/>
      </w:pPr>
      <w:r>
        <w:t>10. Source and planning notes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[S1] IRS, “Exempt organizations e-file — eligibility and availability,” https://www.irs.gov/charities-non-profits/exempt-organizations-e-file-eligibility-and-availability (accessed July 2026). This roadmap treats formal return filing as a specialist-provider responsibility.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[S2] Stripe, “Platform pricing tools,” https://docs.stripe.com/connect/platform-pricing-tools (accessed July 2026). Availability and funds-flow rules vary by configuration and country.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City/Sync current application codebase reviewed July 2026: multi-city control plane, per-city city ledger database, organization volunteer-management workspace, participant workspace, public ledger, and administrative routes.</w:t>
      </w:r>
    </w:p>
    <w:p>
      <w:pPr>
        <w:spacing w:after="120"/>
      </w:pPr>
      <w:r>
        <w:rPr>
          <w:rFonts w:ascii="Calibri" w:hAnsi="Calibri"/>
          <w:color w:val="1F2937"/>
        </w:rPr>
        <w:t>This is a product strategy document, not legal, tax, employment, screening, payments, or regulatory advice. Each sensitive capability requires jurisdiction-specific counsel and vendor review before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6"/>
      </w:rPr>
      <w:t xml:space="preserve">Planning draft • July 2026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0B2545"/>
        <w:sz w:val="17"/>
      </w:rPr>
      <w:t xml:space="preserve">CITY/SYNC  |  </w:t>
    </w:r>
    <w:r>
      <w:rPr>
        <w:rFonts w:ascii="Calibri" w:hAnsi="Calibri"/>
        <w:color w:val="667085"/>
        <w:sz w:val="17"/>
      </w:rPr>
      <w:t>PLATFORM ITERATION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9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0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1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2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Title">
    <w:name w:val="CS Title"/>
    <w:pPr>
      <w:spacing w:before="0" w:after="100"/>
    </w:pPr>
    <w:rPr>
      <w:rFonts w:ascii="Calibri" w:hAnsi="Calibri"/>
      <w:b/>
      <w:color w:val="0B2545"/>
      <w:sz w:val="50"/>
    </w:rPr>
  </w:style>
  <w:style w:type="paragraph" w:customStyle="1" w:styleId="CSSubtitle">
    <w:name w:val="CS Subtitle"/>
    <w:pPr>
      <w:spacing w:after="320"/>
    </w:pPr>
    <w:rPr>
      <w:rFonts w:ascii="Calibri" w:hAnsi="Calibri"/>
      <w:color w:val="66708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CitySync Platform Iteration Roadmap</dc:title>
  <dc:subject>Planning roadmap</dc:subject>
  <dc:creator>City/Sync</dc:creator>
  <cp:keywords/>
  <dc:description>Planning 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