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after="240"/>
        <w:jc w:val="center"/>
      </w:pPr>
      <w:r>
        <w:rPr>
          <w:rFonts w:ascii="Calibri" w:hAnsi="Calibri"/>
          <w:b/>
          <w:color w:val="A47720"/>
          <w:sz w:val="22"/>
        </w:rPr>
        <w:t>CITY/SYNC</w:t>
      </w:r>
    </w:p>
    <w:p>
      <w:pPr>
        <w:spacing w:after="160"/>
        <w:jc w:val="center"/>
      </w:pPr>
      <w:r>
        <w:rPr>
          <w:rFonts w:ascii="Calibri" w:hAnsi="Calibri"/>
          <w:b/>
          <w:color w:val="13233A"/>
          <w:sz w:val="56"/>
        </w:rPr>
        <w:t>Database Evolution Path</w:t>
      </w:r>
    </w:p>
    <w:p>
      <w:pPr>
        <w:spacing w:after="440" w:line="283" w:lineRule="auto"/>
        <w:jc w:val="center"/>
        <w:pBdr>
          <w:bottom w:val="single" w:sz="12" w:space="10" w:color="A47720"/>
        </w:pBdr>
      </w:pPr>
      <w:r>
        <w:rPr>
          <w:rFonts w:ascii="Calibri" w:hAnsi="Calibri"/>
          <w:color w:val="5C6673"/>
          <w:sz w:val="27"/>
        </w:rPr>
        <w:t>A staged architecture for shared coordination, city ledgers, and eventual organization-operated infrastructure</w:t>
      </w:r>
    </w:p>
    <w:p>
      <w:pPr>
        <w:spacing w:after="80"/>
        <w:jc w:val="center"/>
      </w:pPr>
      <w:r>
        <w:rPr>
          <w:rFonts w:ascii="Calibri" w:hAnsi="Calibri"/>
          <w:color w:val="5C6673"/>
          <w:sz w:val="20"/>
        </w:rPr>
        <w:t>Internal strategy document</w:t>
      </w:r>
    </w:p>
    <w:p>
      <w:pPr>
        <w:spacing w:after="960"/>
        <w:jc w:val="center"/>
      </w:pPr>
      <w:r>
        <w:rPr>
          <w:rFonts w:ascii="Calibri" w:hAnsi="Calibri"/>
          <w:color w:val="5C6673"/>
          <w:sz w:val="20"/>
        </w:rPr>
        <w:t>25 August 2026</w:t>
      </w:r>
    </w:p>
    <w:tbl>
      <w:tblPr>
        <w:tblW w:type="dxa" w:w="9360"/>
        <w:jc w:val="left"/>
        <w:tblLayout w:type="fixed"/>
        <w:tblLook w:firstColumn="1" w:firstRow="1" w:lastColumn="0" w:lastRow="0" w:noHBand="0" w:noVBand="1" w:val="04A0"/>
        <w:tblInd w:w="120" w:type="dxa"/>
        <w:tblBorders>
          <w:top w:val="single" w:sz="7" w:space="0" w:color="D2DDEA"/>
          <w:left w:val="single" w:sz="7" w:space="0" w:color="D2DDEA"/>
          <w:bottom w:val="single" w:sz="7" w:space="0" w:color="D2DDEA"/>
          <w:right w:val="single" w:sz="7" w:space="0" w:color="D2DDEA"/>
          <w:insideH w:val="single" w:sz="7" w:space="0" w:color="D2DDEA"/>
          <w:insideV w:val="single" w:sz="7" w:space="0" w:color="D2DDEA"/>
        </w:tblBorders>
      </w:tblPr>
      <w:tblGrid>
        <w:gridCol w:w="3120"/>
        <w:gridCol w:w="3120"/>
        <w:gridCol w:w="3120"/>
      </w:tblGrid>
      <w:tr>
        <w:tc>
          <w:tcPr>
            <w:tcW w:type="dxa" w:w="3120"/>
            <w:tcMar>
              <w:top w:w="160" w:type="dxa"/>
              <w:start w:w="160" w:type="dxa"/>
              <w:bottom w:w="160" w:type="dxa"/>
              <w:end w:w="160" w:type="dxa"/>
            </w:tcMar>
            <w:vAlign w:val="center"/>
            <w:shd w:fill="F4F7FB" w:val="clear"/>
          </w:tcPr>
          <w:p>
            <w:pPr>
              <w:spacing w:before="0" w:after="40" w:line="259" w:lineRule="auto"/>
            </w:pPr>
            <w:r/>
            <w:r>
              <w:rPr>
                <w:rFonts w:ascii="Calibri" w:hAnsi="Calibri"/>
                <w:b/>
                <w:color w:val="A47720"/>
                <w:sz w:val="17"/>
              </w:rPr>
              <w:t>NOW</w:t>
            </w:r>
          </w:p>
          <w:p>
            <w:pPr>
              <w:spacing w:before="0" w:after="40" w:line="259" w:lineRule="auto"/>
            </w:pPr>
            <w:r>
              <w:rPr>
                <w:rFonts w:ascii="Calibri" w:hAnsi="Calibri"/>
                <w:b/>
                <w:color w:val="13233A"/>
                <w:sz w:val="22"/>
              </w:rPr>
              <w:t>Shared core + city ledgers</w:t>
            </w:r>
          </w:p>
          <w:p>
            <w:pPr>
              <w:spacing w:before="0" w:after="0" w:line="259" w:lineRule="auto"/>
            </w:pPr>
            <w:r>
              <w:rPr>
                <w:rFonts w:ascii="Calibri" w:hAnsi="Calibri"/>
                <w:b w:val="0"/>
                <w:color w:val="5C6673"/>
                <w:sz w:val="18"/>
              </w:rPr>
              <w:t>Keep early operations simple while city credits and ledger events remain city-specific.</w:t>
            </w:r>
          </w:p>
        </w:tc>
        <w:tc>
          <w:tcPr>
            <w:tcW w:type="dxa" w:w="3120"/>
            <w:tcMar>
              <w:top w:w="160" w:type="dxa"/>
              <w:start w:w="160" w:type="dxa"/>
              <w:bottom w:w="160" w:type="dxa"/>
              <w:end w:w="160" w:type="dxa"/>
            </w:tcMar>
            <w:vAlign w:val="center"/>
            <w:shd w:fill="F4F7FB" w:val="clear"/>
          </w:tcPr>
          <w:p>
            <w:pPr>
              <w:spacing w:before="0" w:after="40" w:line="259" w:lineRule="auto"/>
            </w:pPr>
            <w:r/>
            <w:r>
              <w:rPr>
                <w:rFonts w:ascii="Calibri" w:hAnsi="Calibri"/>
                <w:b/>
                <w:color w:val="A47720"/>
                <w:sz w:val="17"/>
              </w:rPr>
              <w:t>NEXT</w:t>
            </w:r>
          </w:p>
          <w:p>
            <w:pPr>
              <w:spacing w:before="0" w:after="40" w:line="259" w:lineRule="auto"/>
            </w:pPr>
            <w:r>
              <w:rPr>
                <w:rFonts w:ascii="Calibri" w:hAnsi="Calibri"/>
                <w:b/>
                <w:color w:val="13233A"/>
                <w:sz w:val="22"/>
              </w:rPr>
              <w:t>Portability + clear boundaries</w:t>
            </w:r>
          </w:p>
          <w:p>
            <w:pPr>
              <w:spacing w:before="0" w:after="0" w:line="259" w:lineRule="auto"/>
            </w:pPr>
            <w:r>
              <w:rPr>
                <w:rFonts w:ascii="Calibri" w:hAnsi="Calibri"/>
                <w:b w:val="0"/>
                <w:color w:val="5C6673"/>
                <w:sz w:val="18"/>
              </w:rPr>
              <w:t>Make organization data exportable, verifiable, and safe to hand off before adding more nodes.</w:t>
            </w:r>
          </w:p>
        </w:tc>
        <w:tc>
          <w:tcPr>
            <w:tcW w:type="dxa" w:w="3120"/>
            <w:tcMar>
              <w:top w:w="160" w:type="dxa"/>
              <w:start w:w="160" w:type="dxa"/>
              <w:bottom w:w="160" w:type="dxa"/>
              <w:end w:w="160" w:type="dxa"/>
            </w:tcMar>
            <w:vAlign w:val="center"/>
            <w:shd w:fill="F4F7FB" w:val="clear"/>
          </w:tcPr>
          <w:p>
            <w:pPr>
              <w:spacing w:before="0" w:after="40" w:line="259" w:lineRule="auto"/>
            </w:pPr>
            <w:r/>
            <w:r>
              <w:rPr>
                <w:rFonts w:ascii="Calibri" w:hAnsi="Calibri"/>
                <w:b/>
                <w:color w:val="A47720"/>
                <w:sz w:val="17"/>
              </w:rPr>
              <w:t>LATER</w:t>
            </w:r>
          </w:p>
          <w:p>
            <w:pPr>
              <w:spacing w:before="0" w:after="40" w:line="259" w:lineRule="auto"/>
            </w:pPr>
            <w:r>
              <w:rPr>
                <w:rFonts w:ascii="Calibri" w:hAnsi="Calibri"/>
                <w:b/>
                <w:color w:val="13233A"/>
                <w:sz w:val="22"/>
              </w:rPr>
              <w:t>Opt-in sovereign operation</w:t>
            </w:r>
          </w:p>
          <w:p>
            <w:pPr>
              <w:spacing w:before="0" w:after="0" w:line="259" w:lineRule="auto"/>
            </w:pPr>
            <w:r>
              <w:rPr>
                <w:rFonts w:ascii="Calibri" w:hAnsi="Calibri"/>
                <w:b w:val="0"/>
                <w:color w:val="5C6673"/>
                <w:sz w:val="18"/>
              </w:rPr>
              <w:t>Let qualified organizations and cities operate infrastructure without fragmenting the platform too early.</w:t>
            </w:r>
          </w:p>
        </w:tc>
      </w:tr>
    </w:tbl>
    <w:p>
      <w:pPr>
        <w:spacing w:after="200"/>
      </w:pPr>
    </w:p>
    <w:p>
      <w:pPr>
        <w:spacing w:line="283" w:lineRule="auto"/>
        <w:jc w:val="center"/>
      </w:pPr>
      <w:r>
        <w:rPr>
          <w:rFonts w:ascii="Calibri" w:hAnsi="Calibri"/>
          <w:color w:val="5C6673"/>
          <w:sz w:val="20"/>
        </w:rPr>
        <w:t>Purpose: establish a decision framework for when City/Sync should use a shared database, when it should create city-level infrastructure, and when an organization should be able to operate its own data system.</w:t>
      </w:r>
    </w:p>
    <w:p>
      <w:r>
        <w:br w:type="page"/>
      </w:r>
    </w:p>
    <w:p>
      <w:pPr>
        <w:pStyle w:val="Heading1"/>
      </w:pPr>
      <w:r>
        <w:rPr>
          <w:rFonts w:ascii="Calibri" w:hAnsi="Calibri"/>
          <w:b/>
          <w:color w:val="2E74B5"/>
          <w:sz w:val="32"/>
        </w:rPr>
        <w:t>Executive position</w:t>
      </w:r>
    </w:p>
    <w:p>
      <w:pPr>
        <w:spacing w:line="269" w:lineRule="auto"/>
      </w:pPr>
      <w:r>
        <w:rPr>
          <w:rFonts w:ascii="Calibri" w:hAnsi="Calibri"/>
          <w:color w:val="13233A"/>
          <w:sz w:val="22"/>
        </w:rPr>
        <w:t>City/Sync should begin with a shared operational core, maintain a separate ledger and wallet database for each city, and deliberately earn the right to add organization-operated databases. The objective is not maximum decentralization on day one. The objective is a coordination system that is simple enough to operate now and structured enough to be handed off later.</w:t>
      </w:r>
    </w:p>
    <w:tbl>
      <w:tblPr>
        <w:tblW w:type="dxa" w:w="9360"/>
        <w:jc w:val="left"/>
        <w:tblLayout w:type="fixed"/>
        <w:tblLook w:firstColumn="1" w:firstRow="1" w:lastColumn="0" w:lastRow="0" w:noHBand="0" w:noVBand="1" w:val="04A0"/>
        <w:tblInd w:w="120" w:type="dxa"/>
        <w:tblBorders>
          <w:top w:val="single" w:sz="7" w:space="0" w:color="C7D6EB"/>
          <w:left w:val="single" w:sz="7" w:space="0" w:color="C7D6EB"/>
          <w:bottom w:val="single" w:sz="7" w:space="0" w:color="C7D6EB"/>
          <w:right w:val="single" w:sz="7" w:space="0" w:color="C7D6EB"/>
          <w:insideH w:val="single" w:sz="7" w:space="0" w:color="C7D6EB"/>
          <w:insideV w:val="single" w:sz="7" w:space="0" w:color="C7D6EB"/>
        </w:tblBorders>
      </w:tblPr>
      <w:tblGrid>
        <w:gridCol w:w="740"/>
        <w:gridCol w:w="8620"/>
      </w:tblGrid>
      <w:tr>
        <w:tc>
          <w:tcPr>
            <w:tcW w:type="dxa" w:w="740"/>
            <w:tcMar>
              <w:top w:w="160" w:type="dxa"/>
              <w:start w:w="100" w:type="dxa"/>
              <w:bottom w:w="160" w:type="dxa"/>
              <w:end w:w="100" w:type="dxa"/>
            </w:tcMar>
            <w:vAlign w:val="center"/>
            <w:shd w:fill="A47720" w:val="clear"/>
          </w:tcPr>
          <w:p>
            <w:pPr>
              <w:spacing w:before="0" w:after="0" w:line="264" w:lineRule="auto"/>
              <w:jc w:val="center"/>
            </w:pPr>
            <w:r/>
            <w:r>
              <w:rPr>
                <w:rFonts w:ascii="Calibri" w:hAnsi="Calibri"/>
                <w:b/>
                <w:color w:val="FFFFFF"/>
                <w:sz w:val="17"/>
              </w:rPr>
              <w:t>RECOMMENDATION</w:t>
            </w:r>
          </w:p>
        </w:tc>
        <w:tc>
          <w:tcPr>
            <w:tcW w:type="dxa" w:w="8620"/>
            <w:tcMar>
              <w:top w:w="140" w:type="dxa"/>
              <w:start w:w="180" w:type="dxa"/>
              <w:bottom w:w="140" w:type="dxa"/>
              <w:end w:w="180" w:type="dxa"/>
            </w:tcMar>
            <w:vAlign w:val="center"/>
            <w:shd w:fill="FFF6E1" w:val="clear"/>
          </w:tcPr>
          <w:p>
            <w:pPr>
              <w:spacing w:after="60"/>
            </w:pPr>
            <w:r/>
            <w:r>
              <w:rPr>
                <w:rFonts w:ascii="Calibri" w:hAnsi="Calibri"/>
                <w:b/>
                <w:color w:val="13233A"/>
                <w:sz w:val="21"/>
              </w:rPr>
              <w:t>Use isolation where it creates a real trust boundary.</w:t>
            </w:r>
          </w:p>
          <w:p>
            <w:pPr>
              <w:spacing w:after="0" w:line="276" w:lineRule="auto"/>
            </w:pPr>
            <w:r>
              <w:rPr>
                <w:rFonts w:ascii="Calibri" w:hAnsi="Calibri"/>
                <w:color w:val="5C6673"/>
                <w:sz w:val="19"/>
              </w:rPr>
              <w:t>A city needs a separate ledger because credits, city policy, and public verification are city-specific. An organization should receive a separate database when ownership, sensitivity, scale, integration needs, or a contractual obligation justify the added operational burden.</w:t>
            </w:r>
          </w:p>
        </w:tc>
      </w:tr>
    </w:tbl>
    <w:p>
      <w:pPr>
        <w:spacing w:after="80"/>
      </w:pPr>
    </w:p>
    <w:p>
      <w:pPr>
        <w:pStyle w:val="Heading2"/>
      </w:pPr>
      <w:r>
        <w:rPr>
          <w:rFonts w:ascii="Calibri" w:hAnsi="Calibri"/>
          <w:b/>
          <w:color w:val="2E74B5"/>
          <w:sz w:val="26"/>
        </w:rPr>
        <w:t>What exists today</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500"/>
        <w:gridCol w:w="2300"/>
        <w:gridCol w:w="3700"/>
        <w:gridCol w:w="1860"/>
      </w:tblGrid>
      <w:tr>
        <w:trPr>
          <w:tblHeader w:val="true"/>
        </w:trPr>
        <w:tc>
          <w:tcPr>
            <w:tcW w:type="dxa" w:w="15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LAYER</w:t>
            </w:r>
          </w:p>
        </w:tc>
        <w:tc>
          <w:tcPr>
            <w:tcW w:type="dxa" w:w="23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CURRENT DATABASE MODEL</w:t>
            </w:r>
          </w:p>
        </w:tc>
        <w:tc>
          <w:tcPr>
            <w:tcW w:type="dxa" w:w="37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PRIMARY CONTENT</w:t>
            </w:r>
          </w:p>
        </w:tc>
        <w:tc>
          <w:tcPr>
            <w:tcW w:type="dxa" w:w="186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WHY IT IS SEPARATE</w:t>
            </w:r>
          </w:p>
        </w:tc>
      </w:tr>
      <w:tr>
        <w:tc>
          <w:tcPr>
            <w:tcW w:type="dxa" w:w="1500"/>
            <w:shd w:fill="FFFFFF" w:val="clear"/>
          </w:tcPr>
          <w:p>
            <w:pPr>
              <w:spacing w:before="0" w:after="0" w:line="264" w:lineRule="auto"/>
            </w:pPr>
            <w:r/>
            <w:r>
              <w:rPr>
                <w:rFonts w:ascii="Calibri" w:hAnsi="Calibri"/>
                <w:b/>
                <w:color w:val="13233A"/>
                <w:sz w:val="17"/>
              </w:rPr>
              <w:t>Shared core</w:t>
            </w:r>
          </w:p>
        </w:tc>
        <w:tc>
          <w:tcPr>
            <w:tcW w:type="dxa" w:w="2300"/>
            <w:shd w:fill="FFFFFF" w:val="clear"/>
          </w:tcPr>
          <w:p>
            <w:pPr>
              <w:spacing w:before="0" w:after="0" w:line="264" w:lineRule="auto"/>
            </w:pPr>
            <w:r/>
            <w:r>
              <w:rPr>
                <w:rFonts w:ascii="Calibri" w:hAnsi="Calibri"/>
                <w:b w:val="0"/>
                <w:color w:val="13233A"/>
                <w:sz w:val="17"/>
              </w:rPr>
              <w:t>One shared operational database</w:t>
            </w:r>
          </w:p>
        </w:tc>
        <w:tc>
          <w:tcPr>
            <w:tcW w:type="dxa" w:w="3700"/>
            <w:shd w:fill="FFFFFF" w:val="clear"/>
          </w:tcPr>
          <w:p>
            <w:pPr>
              <w:spacing w:before="0" w:after="0" w:line="264" w:lineRule="auto"/>
            </w:pPr>
            <w:r/>
            <w:r>
              <w:rPr>
                <w:rFonts w:ascii="Calibri" w:hAnsi="Calibri"/>
                <w:b w:val="0"/>
                <w:color w:val="13233A"/>
                <w:sz w:val="17"/>
              </w:rPr>
              <w:t>Accounts, organizations, roles, roster data, documents, opportunities, claims, messages, notifications, policies, and audit outbox records.</w:t>
            </w:r>
          </w:p>
        </w:tc>
        <w:tc>
          <w:tcPr>
            <w:tcW w:type="dxa" w:w="1860"/>
            <w:shd w:fill="FFFFFF" w:val="clear"/>
          </w:tcPr>
          <w:p>
            <w:pPr>
              <w:spacing w:before="0" w:after="0" w:line="264" w:lineRule="auto"/>
            </w:pPr>
            <w:r/>
            <w:r>
              <w:rPr>
                <w:rFonts w:ascii="Calibri" w:hAnsi="Calibri"/>
                <w:b w:val="0"/>
                <w:color w:val="13233A"/>
                <w:sz w:val="17"/>
              </w:rPr>
              <w:t>It allows one participant identity and one application workflow to work across organizations and cities.</w:t>
            </w:r>
          </w:p>
        </w:tc>
      </w:tr>
      <w:tr>
        <w:tc>
          <w:tcPr>
            <w:tcW w:type="dxa" w:w="1500"/>
            <w:shd w:fill="FAFBFC" w:val="clear"/>
          </w:tcPr>
          <w:p>
            <w:pPr>
              <w:spacing w:before="0" w:after="0" w:line="264" w:lineRule="auto"/>
            </w:pPr>
            <w:r/>
            <w:r>
              <w:rPr>
                <w:rFonts w:ascii="Calibri" w:hAnsi="Calibri"/>
                <w:b/>
                <w:color w:val="13233A"/>
                <w:sz w:val="17"/>
              </w:rPr>
              <w:t>City ledger</w:t>
            </w:r>
          </w:p>
        </w:tc>
        <w:tc>
          <w:tcPr>
            <w:tcW w:type="dxa" w:w="2300"/>
            <w:shd w:fill="FAFBFC" w:val="clear"/>
          </w:tcPr>
          <w:p>
            <w:pPr>
              <w:spacing w:before="0" w:after="0" w:line="264" w:lineRule="auto"/>
            </w:pPr>
            <w:r/>
            <w:r>
              <w:rPr>
                <w:rFonts w:ascii="Calibri" w:hAnsi="Calibri"/>
                <w:b w:val="0"/>
                <w:color w:val="13233A"/>
                <w:sz w:val="17"/>
              </w:rPr>
              <w:t>One independent database per city</w:t>
            </w:r>
          </w:p>
        </w:tc>
        <w:tc>
          <w:tcPr>
            <w:tcW w:type="dxa" w:w="3700"/>
            <w:shd w:fill="FAFBFC" w:val="clear"/>
          </w:tcPr>
          <w:p>
            <w:pPr>
              <w:spacing w:before="0" w:after="0" w:line="264" w:lineRule="auto"/>
            </w:pPr>
            <w:r/>
            <w:r>
              <w:rPr>
                <w:rFonts w:ascii="Calibri" w:hAnsi="Calibri"/>
                <w:b w:val="0"/>
                <w:color w:val="13233A"/>
                <w:sz w:val="17"/>
              </w:rPr>
              <w:t>City metadata, wallets, credit entries, tamper-evident city events, and anchors.</w:t>
            </w:r>
          </w:p>
        </w:tc>
        <w:tc>
          <w:tcPr>
            <w:tcW w:type="dxa" w:w="1860"/>
            <w:shd w:fill="FAFBFC" w:val="clear"/>
          </w:tcPr>
          <w:p>
            <w:pPr>
              <w:spacing w:before="0" w:after="0" w:line="264" w:lineRule="auto"/>
            </w:pPr>
            <w:r/>
            <w:r>
              <w:rPr>
                <w:rFonts w:ascii="Calibri" w:hAnsi="Calibri"/>
                <w:b w:val="0"/>
                <w:color w:val="13233A"/>
                <w:sz w:val="17"/>
              </w:rPr>
              <w:t>Credits and city-level verification must stay bounded to the city in which the contribution occurred.</w:t>
            </w:r>
          </w:p>
        </w:tc>
      </w:tr>
      <w:tr>
        <w:tc>
          <w:tcPr>
            <w:tcW w:type="dxa" w:w="1500"/>
            <w:shd w:fill="FFFFFF" w:val="clear"/>
          </w:tcPr>
          <w:p>
            <w:pPr>
              <w:spacing w:before="0" w:after="0" w:line="264" w:lineRule="auto"/>
            </w:pPr>
            <w:r/>
            <w:r>
              <w:rPr>
                <w:rFonts w:ascii="Calibri" w:hAnsi="Calibri"/>
                <w:b/>
                <w:color w:val="13233A"/>
                <w:sz w:val="17"/>
              </w:rPr>
              <w:t>File storage</w:t>
            </w:r>
          </w:p>
        </w:tc>
        <w:tc>
          <w:tcPr>
            <w:tcW w:type="dxa" w:w="2300"/>
            <w:shd w:fill="FFFFFF" w:val="clear"/>
          </w:tcPr>
          <w:p>
            <w:pPr>
              <w:spacing w:before="0" w:after="0" w:line="264" w:lineRule="auto"/>
            </w:pPr>
            <w:r/>
            <w:r>
              <w:rPr>
                <w:rFonts w:ascii="Calibri" w:hAnsi="Calibri"/>
                <w:b w:val="0"/>
                <w:color w:val="13233A"/>
                <w:sz w:val="17"/>
              </w:rPr>
              <w:t>Managed object storage, not a database</w:t>
            </w:r>
          </w:p>
        </w:tc>
        <w:tc>
          <w:tcPr>
            <w:tcW w:type="dxa" w:w="3700"/>
            <w:shd w:fill="FFFFFF" w:val="clear"/>
          </w:tcPr>
          <w:p>
            <w:pPr>
              <w:spacing w:before="0" w:after="0" w:line="264" w:lineRule="auto"/>
            </w:pPr>
            <w:r/>
            <w:r>
              <w:rPr>
                <w:rFonts w:ascii="Calibri" w:hAnsi="Calibri"/>
                <w:b w:val="0"/>
                <w:color w:val="13233A"/>
                <w:sz w:val="17"/>
              </w:rPr>
              <w:t>Uploaded source documents and related files.</w:t>
            </w:r>
          </w:p>
        </w:tc>
        <w:tc>
          <w:tcPr>
            <w:tcW w:type="dxa" w:w="1860"/>
            <w:shd w:fill="FFFFFF" w:val="clear"/>
          </w:tcPr>
          <w:p>
            <w:pPr>
              <w:spacing w:before="0" w:after="0" w:line="264" w:lineRule="auto"/>
            </w:pPr>
            <w:r/>
            <w:r>
              <w:rPr>
                <w:rFonts w:ascii="Calibri" w:hAnsi="Calibri"/>
                <w:b w:val="0"/>
                <w:color w:val="13233A"/>
                <w:sz w:val="17"/>
              </w:rPr>
              <w:t>Files require a different storage and access-control model from operational records.</w:t>
            </w:r>
          </w:p>
        </w:tc>
      </w:tr>
    </w:tbl>
    <w:p>
      <w:pPr>
        <w:spacing w:after="80"/>
      </w:pPr>
    </w:p>
    <w:p>
      <w:pPr>
        <w:spacing w:line="276" w:lineRule="auto"/>
      </w:pPr>
      <w:r>
        <w:rPr>
          <w:rFonts w:ascii="Calibri" w:hAnsi="Calibri"/>
          <w:color w:val="5C6673"/>
          <w:sz w:val="20"/>
        </w:rPr>
        <w:t>Today, organizations do not receive their own physical database. A Berkeley organization logically uses the shared core plus the Berkeley ledger. A multi-city organization uses the shared core plus the relevant ledger for each city where it acts.</w:t>
      </w:r>
    </w:p>
    <w:p>
      <w:r>
        <w:br w:type="page"/>
      </w:r>
    </w:p>
    <w:p>
      <w:pPr>
        <w:pStyle w:val="Heading2"/>
      </w:pPr>
      <w:r>
        <w:rPr>
          <w:rFonts w:ascii="Calibri" w:hAnsi="Calibri"/>
          <w:b/>
          <w:color w:val="2E74B5"/>
          <w:sz w:val="26"/>
        </w:rPr>
        <w:t>Why not start with one database per organization?</w:t>
      </w:r>
    </w:p>
    <w:p>
      <w:pPr>
        <w:pStyle w:val="ListBullet"/>
        <w:spacing w:after="80" w:line="280" w:lineRule="auto"/>
      </w:pPr>
      <w:r>
        <w:rPr>
          <w:rFonts w:ascii="Calibri" w:hAnsi="Calibri"/>
          <w:color w:val="13233A"/>
          <w:sz w:val="21"/>
        </w:rPr>
        <w:t>The participant, city membership, and discovery experience all cross organizational boundaries. Splitting those records too early creates duplicate identities and fragile synchronization.</w:t>
      </w:r>
    </w:p>
    <w:p>
      <w:pPr>
        <w:pStyle w:val="ListBullet"/>
        <w:spacing w:after="80" w:line="280" w:lineRule="auto"/>
      </w:pPr>
      <w:r>
        <w:rPr>
          <w:rFonts w:ascii="Calibri" w:hAnsi="Calibri"/>
          <w:color w:val="13233A"/>
          <w:sz w:val="21"/>
        </w:rPr>
        <w:t>Every organization database introduces credentials, monitoring, migrations, backups, incident response, exports, and restoration responsibilities.</w:t>
      </w:r>
    </w:p>
    <w:p>
      <w:pPr>
        <w:pStyle w:val="ListBullet"/>
        <w:spacing w:after="80" w:line="280" w:lineRule="auto"/>
      </w:pPr>
      <w:r>
        <w:rPr>
          <w:rFonts w:ascii="Calibri" w:hAnsi="Calibri"/>
          <w:color w:val="13233A"/>
          <w:sz w:val="21"/>
        </w:rPr>
        <w:t>A small team can safely improve one shared application schema much faster than it can coordinate hundreds of independent schema versions.</w:t>
      </w:r>
    </w:p>
    <w:p>
      <w:pPr>
        <w:pStyle w:val="ListBullet"/>
        <w:spacing w:after="80" w:line="280" w:lineRule="auto"/>
      </w:pPr>
      <w:r>
        <w:rPr>
          <w:rFonts w:ascii="Calibri" w:hAnsi="Calibri"/>
          <w:color w:val="13233A"/>
          <w:sz w:val="21"/>
        </w:rPr>
        <w:t>Most organizations will not initially need an independent operator, custom retention rules, or a direct systems integration. Giving every account a database would add cost without creating proportional value.</w:t>
      </w:r>
    </w:p>
    <w:p>
      <w:pPr>
        <w:spacing w:line="276" w:lineRule="auto"/>
      </w:pPr>
      <w:r>
        <w:rPr>
          <w:rFonts w:ascii="Calibri" w:hAnsi="Calibri"/>
          <w:i/>
          <w:color w:val="5C6673"/>
          <w:sz w:val="20"/>
        </w:rPr>
        <w:t>This is not an argument for permanent centralization. It is a sequencing decision: establish clean data contracts and portability while the product is small, then add physical isolation when the need is concrete and the operating model is ready.</w:t>
      </w:r>
    </w:p>
    <w:p>
      <w:pPr>
        <w:pStyle w:val="Heading1"/>
      </w:pPr>
      <w:r>
        <w:rPr>
          <w:rFonts w:ascii="Calibri" w:hAnsi="Calibri"/>
          <w:b/>
          <w:color w:val="2E74B5"/>
          <w:sz w:val="32"/>
        </w:rPr>
        <w:t>Architecture principles</w:t>
      </w:r>
    </w:p>
    <w:p>
      <w:pPr>
        <w:spacing w:before="60" w:after="40"/>
      </w:pPr>
      <w:r>
        <w:rPr>
          <w:rFonts w:ascii="Calibri" w:hAnsi="Calibri"/>
          <w:b/>
          <w:color w:val="1F4D78"/>
          <w:sz w:val="21"/>
        </w:rPr>
        <w:t>1. Minimize collection</w:t>
      </w:r>
    </w:p>
    <w:p>
      <w:pPr>
        <w:spacing w:after="100" w:line="274" w:lineRule="auto"/>
      </w:pPr>
      <w:r>
        <w:rPr>
          <w:rFonts w:ascii="Calibri" w:hAnsi="Calibri"/>
          <w:color w:val="5C6673"/>
          <w:sz w:val="20"/>
        </w:rPr>
        <w:t>Store only information required to coordinate participation, meet the organization's legitimate needs, and support verified contributions.</w:t>
      </w:r>
    </w:p>
    <w:p>
      <w:pPr>
        <w:spacing w:before="60" w:after="40"/>
      </w:pPr>
      <w:r>
        <w:rPr>
          <w:rFonts w:ascii="Calibri" w:hAnsi="Calibri"/>
          <w:b/>
          <w:color w:val="1F4D78"/>
          <w:sz w:val="21"/>
        </w:rPr>
        <w:t>2. Separate private operations from public proof</w:t>
      </w:r>
    </w:p>
    <w:p>
      <w:pPr>
        <w:spacing w:after="100" w:line="274" w:lineRule="auto"/>
      </w:pPr>
      <w:r>
        <w:rPr>
          <w:rFonts w:ascii="Calibri" w:hAnsi="Calibri"/>
          <w:color w:val="5C6673"/>
          <w:sz w:val="20"/>
        </w:rPr>
        <w:t>Source documents, roster details, messages, waivers, and identity artifacts remain private. The city ledger receives only the minimum verifiable event record needed for civic accounting.</w:t>
      </w:r>
    </w:p>
    <w:p>
      <w:pPr>
        <w:spacing w:before="60" w:after="40"/>
      </w:pPr>
      <w:r>
        <w:rPr>
          <w:rFonts w:ascii="Calibri" w:hAnsi="Calibri"/>
          <w:b/>
          <w:color w:val="1F4D78"/>
          <w:sz w:val="21"/>
        </w:rPr>
        <w:t>3. Make every boundary portable</w:t>
      </w:r>
    </w:p>
    <w:p>
      <w:pPr>
        <w:spacing w:after="100" w:line="274" w:lineRule="auto"/>
      </w:pPr>
      <w:r>
        <w:rPr>
          <w:rFonts w:ascii="Calibri" w:hAnsi="Calibri"/>
          <w:color w:val="5C6673"/>
          <w:sz w:val="20"/>
        </w:rPr>
        <w:t>A city or organization should be able to receive an understandable export, verify it, restore it into a compatible node, and operate without City/Sync hosting forever.</w:t>
      </w:r>
    </w:p>
    <w:p>
      <w:pPr>
        <w:spacing w:before="60" w:after="40"/>
      </w:pPr>
      <w:r>
        <w:rPr>
          <w:rFonts w:ascii="Calibri" w:hAnsi="Calibri"/>
          <w:b/>
          <w:color w:val="1F4D78"/>
          <w:sz w:val="21"/>
        </w:rPr>
        <w:t>4. Prefer explicit contracts to ad hoc copying</w:t>
      </w:r>
    </w:p>
    <w:p>
      <w:pPr>
        <w:spacing w:after="100" w:line="274" w:lineRule="auto"/>
      </w:pPr>
      <w:r>
        <w:rPr>
          <w:rFonts w:ascii="Calibri" w:hAnsi="Calibri"/>
          <w:color w:val="5C6673"/>
          <w:sz w:val="20"/>
        </w:rPr>
        <w:t>Move information through versioned event envelopes and documented APIs, not by silently sharing operational tables across databases.</w:t>
      </w:r>
    </w:p>
    <w:p>
      <w:pPr>
        <w:spacing w:before="60" w:after="40"/>
      </w:pPr>
      <w:r>
        <w:rPr>
          <w:rFonts w:ascii="Calibri" w:hAnsi="Calibri"/>
          <w:b/>
          <w:color w:val="1F4D78"/>
          <w:sz w:val="21"/>
        </w:rPr>
        <w:t>5. Keep policy legible</w:t>
      </w:r>
    </w:p>
    <w:p>
      <w:pPr>
        <w:spacing w:after="100" w:line="274" w:lineRule="auto"/>
      </w:pPr>
      <w:r>
        <w:rPr>
          <w:rFonts w:ascii="Calibri" w:hAnsi="Calibri"/>
          <w:color w:val="5C6673"/>
          <w:sz w:val="20"/>
        </w:rPr>
        <w:t>Policies should be stored as versioned machine-readable rules plus human-readable explanations. Each consequential action should record which policy version authorized it.</w:t>
      </w:r>
    </w:p>
    <w:p>
      <w:pPr>
        <w:spacing w:before="60" w:after="40"/>
      </w:pPr>
      <w:r>
        <w:rPr>
          <w:rFonts w:ascii="Calibri" w:hAnsi="Calibri"/>
          <w:b/>
          <w:color w:val="1F4D78"/>
          <w:sz w:val="21"/>
        </w:rPr>
        <w:t>6. Add nodes only with an operator</w:t>
      </w:r>
    </w:p>
    <w:p>
      <w:pPr>
        <w:spacing w:after="100" w:line="274" w:lineRule="auto"/>
      </w:pPr>
      <w:r>
        <w:rPr>
          <w:rFonts w:ascii="Calibri" w:hAnsi="Calibri"/>
          <w:color w:val="5C6673"/>
          <w:sz w:val="20"/>
        </w:rPr>
        <w:t>A separate database is not sovereignty by itself. It requires an accountable operator, backup policy, key management, monitoring, and a handoff agreement.</w:t>
      </w:r>
    </w:p>
    <w:p>
      <w:r>
        <w:br w:type="page"/>
      </w:r>
    </w:p>
    <w:p>
      <w:pPr>
        <w:pStyle w:val="Heading2"/>
      </w:pPr>
      <w:r>
        <w:rPr>
          <w:rFonts w:ascii="Calibri" w:hAnsi="Calibri"/>
          <w:b/>
          <w:color w:val="2E74B5"/>
          <w:sz w:val="26"/>
        </w:rPr>
        <w:t>The long-term topology</w:t>
      </w:r>
    </w:p>
    <w:tbl>
      <w:tblPr>
        <w:tblW w:type="dxa" w:w="9360"/>
        <w:jc w:val="left"/>
        <w:tblLayout w:type="fixed"/>
        <w:tblLook w:firstColumn="1" w:firstRow="1" w:lastColumn="0" w:lastRow="0" w:noHBand="0" w:noVBand="1" w:val="04A0"/>
        <w:tblInd w:w="120" w:type="dxa"/>
        <w:tblBorders>
          <w:top w:val="single" w:sz="8" w:space="0" w:color="BFCDE1"/>
          <w:left w:val="single" w:sz="8" w:space="0" w:color="BFCDE1"/>
          <w:bottom w:val="single" w:sz="8" w:space="0" w:color="BFCDE1"/>
          <w:right w:val="single" w:sz="8" w:space="0" w:color="BFCDE1"/>
          <w:insideH w:val="single" w:sz="8" w:space="0" w:color="BFCDE1"/>
          <w:insideV w:val="single" w:sz="8" w:space="0" w:color="BFCDE1"/>
        </w:tblBorders>
      </w:tblPr>
      <w:tblGrid>
        <w:gridCol w:w="3000"/>
        <w:gridCol w:w="3360"/>
        <w:gridCol w:w="3000"/>
      </w:tblGrid>
      <w:tr>
        <w:tc>
          <w:tcPr>
            <w:tcW w:type="dxa" w:w="3000"/>
            <w:tcMar>
              <w:top w:w="180" w:type="dxa"/>
              <w:start w:w="180" w:type="dxa"/>
              <w:bottom w:w="180" w:type="dxa"/>
              <w:end w:w="180" w:type="dxa"/>
            </w:tcMar>
            <w:vAlign w:val="center"/>
            <w:shd w:fill="EAF4F1" w:val="clear"/>
          </w:tcPr>
          <w:p>
            <w:pPr>
              <w:spacing w:before="0" w:after="40" w:line="259" w:lineRule="auto"/>
            </w:pPr>
            <w:r/>
            <w:r>
              <w:rPr>
                <w:rFonts w:ascii="Calibri" w:hAnsi="Calibri"/>
                <w:b/>
                <w:color w:val="1F4D78"/>
                <w:sz w:val="18"/>
              </w:rPr>
              <w:t>ORGANIZATION NODE</w:t>
            </w:r>
          </w:p>
          <w:p>
            <w:pPr>
              <w:spacing w:before="0" w:after="40" w:line="259" w:lineRule="auto"/>
            </w:pPr>
            <w:r>
              <w:rPr>
                <w:rFonts w:ascii="Calibri" w:hAnsi="Calibri"/>
                <w:b w:val="0"/>
                <w:color w:val="13233A"/>
                <w:sz w:val="6"/>
              </w:rPr>
            </w:r>
          </w:p>
          <w:p>
            <w:pPr>
              <w:spacing w:before="0" w:after="0" w:line="259" w:lineRule="auto"/>
            </w:pPr>
            <w:r>
              <w:rPr>
                <w:rFonts w:ascii="Calibri" w:hAnsi="Calibri"/>
                <w:b w:val="0"/>
                <w:color w:val="5C6673"/>
                <w:sz w:val="18"/>
              </w:rPr>
              <w:t>Private operational records</w:t>
              <w:br/>
              <w:t>Roster, documents, attendance, messages, organization settings</w:t>
              <w:br/>
              <w:br/>
              <w:t>Optional today; operated by City/Sync or the organization later.</w:t>
            </w:r>
          </w:p>
        </w:tc>
        <w:tc>
          <w:tcPr>
            <w:tcW w:type="dxa" w:w="3360"/>
            <w:tcMar>
              <w:top w:w="180" w:type="dxa"/>
              <w:start w:w="180" w:type="dxa"/>
              <w:bottom w:w="180" w:type="dxa"/>
              <w:end w:w="180" w:type="dxa"/>
            </w:tcMar>
            <w:vAlign w:val="center"/>
            <w:shd w:fill="E8EEF5" w:val="clear"/>
          </w:tcPr>
          <w:p>
            <w:pPr>
              <w:spacing w:before="0" w:after="40" w:line="259" w:lineRule="auto"/>
            </w:pPr>
            <w:r/>
            <w:r>
              <w:rPr>
                <w:rFonts w:ascii="Calibri" w:hAnsi="Calibri"/>
                <w:b/>
                <w:color w:val="1F4D78"/>
                <w:sz w:val="18"/>
              </w:rPr>
              <w:t>CITY COORDINATION + LEDGER</w:t>
            </w:r>
          </w:p>
          <w:p>
            <w:pPr>
              <w:spacing w:before="0" w:after="40" w:line="259" w:lineRule="auto"/>
            </w:pPr>
            <w:r>
              <w:rPr>
                <w:rFonts w:ascii="Calibri" w:hAnsi="Calibri"/>
                <w:b w:val="0"/>
                <w:color w:val="13233A"/>
                <w:sz w:val="6"/>
              </w:rPr>
            </w:r>
          </w:p>
          <w:p>
            <w:pPr>
              <w:spacing w:before="0" w:after="0" w:line="259" w:lineRule="auto"/>
            </w:pPr>
            <w:r>
              <w:rPr>
                <w:rFonts w:ascii="Calibri" w:hAnsi="Calibri"/>
                <w:b w:val="0"/>
                <w:color w:val="5C6673"/>
                <w:sz w:val="18"/>
              </w:rPr>
              <w:t>City policy registry, city membership, credit balances, verifiable events, anchors</w:t>
              <w:br/>
              <w:br/>
              <w:t>One isolated ledger per city.</w:t>
            </w:r>
          </w:p>
        </w:tc>
        <w:tc>
          <w:tcPr>
            <w:tcW w:type="dxa" w:w="3000"/>
            <w:tcMar>
              <w:top w:w="180" w:type="dxa"/>
              <w:start w:w="180" w:type="dxa"/>
              <w:bottom w:w="180" w:type="dxa"/>
              <w:end w:w="180" w:type="dxa"/>
            </w:tcMar>
            <w:vAlign w:val="center"/>
            <w:shd w:fill="F2F4F7" w:val="clear"/>
          </w:tcPr>
          <w:p>
            <w:pPr>
              <w:spacing w:before="0" w:after="40" w:line="259" w:lineRule="auto"/>
            </w:pPr>
            <w:r/>
            <w:r>
              <w:rPr>
                <w:rFonts w:ascii="Calibri" w:hAnsi="Calibri"/>
                <w:b/>
                <w:color w:val="1F4D78"/>
                <w:sz w:val="18"/>
              </w:rPr>
              <w:t>CITY/SYNC CONTROL PLANE</w:t>
            </w:r>
          </w:p>
          <w:p>
            <w:pPr>
              <w:spacing w:before="0" w:after="40" w:line="259" w:lineRule="auto"/>
            </w:pPr>
            <w:r>
              <w:rPr>
                <w:rFonts w:ascii="Calibri" w:hAnsi="Calibri"/>
                <w:b w:val="0"/>
                <w:color w:val="13233A"/>
                <w:sz w:val="6"/>
              </w:rPr>
            </w:r>
          </w:p>
          <w:p>
            <w:pPr>
              <w:spacing w:before="0" w:after="0" w:line="259" w:lineRule="auto"/>
            </w:pPr>
            <w:r>
              <w:rPr>
                <w:rFonts w:ascii="Calibri" w:hAnsi="Calibri"/>
                <w:b w:val="0"/>
                <w:color w:val="5C6673"/>
                <w:sz w:val="18"/>
              </w:rPr>
              <w:t>Identity routing, network registry, interoperability, application distribution, operator directory</w:t>
              <w:br/>
              <w:br/>
              <w:t>Shared coordination layer; never the owner of all local records forever.</w:t>
            </w:r>
          </w:p>
        </w:tc>
      </w:tr>
    </w:tbl>
    <w:p>
      <w:pPr>
        <w:spacing w:after="80"/>
      </w:pPr>
    </w:p>
    <w:tbl>
      <w:tblPr>
        <w:tblW w:type="dxa" w:w="9360"/>
        <w:jc w:val="left"/>
        <w:tblLayout w:type="fixed"/>
        <w:tblLook w:firstColumn="1" w:firstRow="1" w:lastColumn="0" w:lastRow="0" w:noHBand="0" w:noVBand="1" w:val="04A0"/>
        <w:tblInd w:w="120" w:type="dxa"/>
        <w:tblBorders>
          <w:top w:val="single" w:sz="7" w:space="0" w:color="C7D6EB"/>
          <w:left w:val="single" w:sz="7" w:space="0" w:color="C7D6EB"/>
          <w:bottom w:val="single" w:sz="7" w:space="0" w:color="C7D6EB"/>
          <w:right w:val="single" w:sz="7" w:space="0" w:color="C7D6EB"/>
          <w:insideH w:val="single" w:sz="7" w:space="0" w:color="C7D6EB"/>
          <w:insideV w:val="single" w:sz="7" w:space="0" w:color="C7D6EB"/>
        </w:tblBorders>
      </w:tblPr>
      <w:tblGrid>
        <w:gridCol w:w="740"/>
        <w:gridCol w:w="8620"/>
      </w:tblGrid>
      <w:tr>
        <w:tc>
          <w:tcPr>
            <w:tcW w:type="dxa" w:w="740"/>
            <w:tcMar>
              <w:top w:w="160" w:type="dxa"/>
              <w:start w:w="100" w:type="dxa"/>
              <w:bottom w:w="160" w:type="dxa"/>
              <w:end w:w="100" w:type="dxa"/>
            </w:tcMar>
            <w:vAlign w:val="center"/>
            <w:shd w:fill="316C5B" w:val="clear"/>
          </w:tcPr>
          <w:p>
            <w:pPr>
              <w:spacing w:before="0" w:after="0" w:line="264" w:lineRule="auto"/>
              <w:jc w:val="center"/>
            </w:pPr>
            <w:r/>
            <w:r>
              <w:rPr>
                <w:rFonts w:ascii="Calibri" w:hAnsi="Calibri"/>
                <w:b/>
                <w:color w:val="FFFFFF"/>
                <w:sz w:val="17"/>
              </w:rPr>
              <w:t>RULE</w:t>
            </w:r>
          </w:p>
        </w:tc>
        <w:tc>
          <w:tcPr>
            <w:tcW w:type="dxa" w:w="8620"/>
            <w:tcMar>
              <w:top w:w="140" w:type="dxa"/>
              <w:start w:w="180" w:type="dxa"/>
              <w:bottom w:w="140" w:type="dxa"/>
              <w:end w:w="180" w:type="dxa"/>
            </w:tcMar>
            <w:vAlign w:val="center"/>
            <w:shd w:fill="EAF4F1" w:val="clear"/>
          </w:tcPr>
          <w:p>
            <w:pPr>
              <w:spacing w:after="60"/>
            </w:pPr>
            <w:r/>
            <w:r>
              <w:rPr>
                <w:rFonts w:ascii="Calibri" w:hAnsi="Calibri"/>
                <w:b/>
                <w:color w:val="13233A"/>
                <w:sz w:val="21"/>
              </w:rPr>
              <w:t>No sensitive source record belongs on a public or city-wide ledger.</w:t>
            </w:r>
          </w:p>
          <w:p>
            <w:pPr>
              <w:spacing w:after="0" w:line="276" w:lineRule="auto"/>
            </w:pPr>
            <w:r>
              <w:rPr>
                <w:rFonts w:ascii="Calibri" w:hAnsi="Calibri"/>
                <w:color w:val="5C6673"/>
                <w:sz w:val="19"/>
              </w:rPr>
              <w:t>The ledger should prove that a policy-governed contribution occurred. It should not become a copy of the organization's roster, private communications, identity documentation, or waiver contents.</w:t>
            </w:r>
          </w:p>
        </w:tc>
      </w:tr>
    </w:tbl>
    <w:p>
      <w:pPr>
        <w:spacing w:after="80"/>
      </w:pPr>
    </w:p>
    <w:p>
      <w:r>
        <w:br w:type="page"/>
      </w:r>
    </w:p>
    <w:p>
      <w:pPr>
        <w:pStyle w:val="Heading1"/>
      </w:pPr>
      <w:r>
        <w:rPr>
          <w:rFonts w:ascii="Calibri" w:hAnsi="Calibri"/>
          <w:b/>
          <w:color w:val="2E74B5"/>
          <w:sz w:val="32"/>
        </w:rPr>
        <w:t>Phased database evolution</w:t>
      </w:r>
    </w:p>
    <w:p>
      <w:pPr>
        <w:spacing w:line="276" w:lineRule="auto"/>
      </w:pPr>
      <w:r>
        <w:rPr>
          <w:rFonts w:ascii="Calibri" w:hAnsi="Calibri"/>
          <w:color w:val="5C6673"/>
          <w:sz w:val="21"/>
        </w:rPr>
        <w:t>Each phase has an explicit purpose. City/Sync should not advance merely because a technical option exists. The next phase begins when the operating, legal, and product conditions make it useful.</w:t>
      </w:r>
    </w:p>
    <w:tbl>
      <w:tblPr>
        <w:tblW w:type="dxa" w:w="9360"/>
        <w:jc w:val="left"/>
        <w:tblLayout w:type="fixed"/>
        <w:tblLook w:firstColumn="1" w:firstRow="1" w:lastColumn="0" w:lastRow="0" w:noHBand="0" w:noVBand="1" w:val="04A0"/>
        <w:tblInd w:w="120" w:type="dxa"/>
        <w:tblBorders>
          <w:top w:val="single" w:sz="7" w:space="0" w:color="C9D5E5"/>
          <w:left w:val="single" w:sz="7" w:space="0" w:color="C9D5E5"/>
          <w:bottom w:val="single" w:sz="7" w:space="0" w:color="C9D5E5"/>
          <w:right w:val="single" w:sz="7" w:space="0" w:color="C9D5E5"/>
          <w:insideH w:val="single" w:sz="7" w:space="0" w:color="C9D5E5"/>
          <w:insideV w:val="single" w:sz="7" w:space="0" w:color="C9D5E5"/>
        </w:tblBorders>
      </w:tblPr>
      <w:tblGrid>
        <w:gridCol w:w="650"/>
        <w:gridCol w:w="2550"/>
        <w:gridCol w:w="5080"/>
        <w:gridCol w:w="1080"/>
      </w:tblGrid>
      <w:tr>
        <w:trPr>
          <w:tblHeader w:val="true"/>
        </w:trPr>
        <w:tc>
          <w:tcPr>
            <w:tcW w:type="dxa" w:w="650"/>
            <w:tcMar>
              <w:top w:w="90" w:type="dxa"/>
              <w:start w:w="120" w:type="dxa"/>
              <w:bottom w:w="90" w:type="dxa"/>
              <w:end w:w="120" w:type="dxa"/>
            </w:tcMar>
            <w:vAlign w:val="center"/>
            <w:shd w:fill="1F4D78" w:val="clear"/>
          </w:tcPr>
          <w:p>
            <w:pPr>
              <w:spacing w:before="0" w:after="0" w:line="264" w:lineRule="auto"/>
            </w:pPr>
            <w:r/>
            <w:r>
              <w:rPr>
                <w:rFonts w:ascii="Calibri" w:hAnsi="Calibri"/>
                <w:b/>
                <w:color w:val="FFFFFF"/>
                <w:sz w:val="17"/>
              </w:rPr>
              <w:t>PHASE</w:t>
            </w:r>
          </w:p>
        </w:tc>
        <w:tc>
          <w:tcPr>
            <w:tcW w:type="dxa" w:w="2550"/>
            <w:tcMar>
              <w:top w:w="90" w:type="dxa"/>
              <w:start w:w="120" w:type="dxa"/>
              <w:bottom w:w="90" w:type="dxa"/>
              <w:end w:w="120" w:type="dxa"/>
            </w:tcMar>
            <w:vAlign w:val="center"/>
            <w:shd w:fill="1F4D78" w:val="clear"/>
          </w:tcPr>
          <w:p>
            <w:pPr>
              <w:spacing w:before="0" w:after="0" w:line="264" w:lineRule="auto"/>
            </w:pPr>
            <w:r/>
            <w:r>
              <w:rPr>
                <w:rFonts w:ascii="Calibri" w:hAnsi="Calibri"/>
                <w:b/>
                <w:color w:val="FFFFFF"/>
                <w:sz w:val="17"/>
              </w:rPr>
              <w:t>WORKING MODEL</w:t>
            </w:r>
          </w:p>
        </w:tc>
        <w:tc>
          <w:tcPr>
            <w:tcW w:type="dxa" w:w="5080"/>
            <w:tcMar>
              <w:top w:w="90" w:type="dxa"/>
              <w:start w:w="120" w:type="dxa"/>
              <w:bottom w:w="90" w:type="dxa"/>
              <w:end w:w="120" w:type="dxa"/>
            </w:tcMar>
            <w:vAlign w:val="center"/>
            <w:shd w:fill="1F4D78" w:val="clear"/>
          </w:tcPr>
          <w:p>
            <w:pPr>
              <w:spacing w:before="0" w:after="0" w:line="264" w:lineRule="auto"/>
            </w:pPr>
            <w:r/>
            <w:r>
              <w:rPr>
                <w:rFonts w:ascii="Calibri" w:hAnsi="Calibri"/>
                <w:b/>
                <w:color w:val="FFFFFF"/>
                <w:sz w:val="17"/>
              </w:rPr>
              <w:t>OUTCOME</w:t>
            </w:r>
          </w:p>
        </w:tc>
        <w:tc>
          <w:tcPr>
            <w:tcW w:type="dxa" w:w="1080"/>
            <w:tcMar>
              <w:top w:w="90" w:type="dxa"/>
              <w:start w:w="120" w:type="dxa"/>
              <w:bottom w:w="90" w:type="dxa"/>
              <w:end w:w="120" w:type="dxa"/>
            </w:tcMar>
            <w:vAlign w:val="center"/>
            <w:shd w:fill="1F4D78" w:val="clear"/>
          </w:tcPr>
          <w:p>
            <w:pPr>
              <w:spacing w:before="0" w:after="0" w:line="264" w:lineRule="auto"/>
            </w:pPr>
            <w:r/>
            <w:r>
              <w:rPr>
                <w:rFonts w:ascii="Calibri" w:hAnsi="Calibri"/>
                <w:b/>
                <w:color w:val="FFFFFF"/>
                <w:sz w:val="17"/>
              </w:rPr>
              <w:t>WHEN</w:t>
            </w:r>
          </w:p>
        </w:tc>
      </w:tr>
      <w:tr>
        <w:tc>
          <w:tcPr>
            <w:tcW w:type="dxa" w:w="650"/>
            <w:shd w:fill="E8EEF5" w:val="clear"/>
          </w:tcPr>
          <w:p>
            <w:pPr>
              <w:spacing w:before="0" w:after="0" w:line="264" w:lineRule="auto"/>
              <w:jc w:val="center"/>
            </w:pPr>
            <w:r/>
            <w:r>
              <w:rPr>
                <w:rFonts w:ascii="Calibri" w:hAnsi="Calibri"/>
                <w:b/>
                <w:color w:val="1F4D78"/>
                <w:sz w:val="20"/>
              </w:rPr>
              <w:t>0</w:t>
            </w:r>
          </w:p>
        </w:tc>
        <w:tc>
          <w:tcPr>
            <w:tcW w:type="dxa" w:w="2550"/>
            <w:shd w:fill="F7FAFD" w:val="clear"/>
          </w:tcPr>
          <w:p>
            <w:pPr>
              <w:spacing w:before="0" w:after="0" w:line="264" w:lineRule="auto"/>
            </w:pPr>
            <w:r/>
            <w:r>
              <w:rPr>
                <w:rFonts w:ascii="Calibri" w:hAnsi="Calibri"/>
                <w:b/>
                <w:color w:val="13233A"/>
                <w:sz w:val="17"/>
              </w:rPr>
              <w:t>Stabilize the shared core</w:t>
            </w:r>
          </w:p>
        </w:tc>
        <w:tc>
          <w:tcPr>
            <w:tcW w:type="dxa" w:w="5080"/>
            <w:shd w:fill="F7FAFD" w:val="clear"/>
          </w:tcPr>
          <w:p>
            <w:pPr>
              <w:spacing w:before="0" w:after="0" w:line="264" w:lineRule="auto"/>
            </w:pPr>
            <w:r/>
            <w:r>
              <w:rPr>
                <w:rFonts w:ascii="Calibri" w:hAnsi="Calibri"/>
                <w:b w:val="0"/>
                <w:color w:val="13233A"/>
                <w:sz w:val="17"/>
              </w:rPr>
              <w:t>Reliable migrations, backups, access control, and release discipline.</w:t>
            </w:r>
          </w:p>
        </w:tc>
        <w:tc>
          <w:tcPr>
            <w:tcW w:type="dxa" w:w="1080"/>
            <w:shd w:fill="F7FAFD" w:val="clear"/>
          </w:tcPr>
          <w:p>
            <w:pPr>
              <w:spacing w:before="0" w:after="0" w:line="264" w:lineRule="auto"/>
            </w:pPr>
            <w:r/>
            <w:r>
              <w:rPr>
                <w:rFonts w:ascii="Calibri" w:hAnsi="Calibri"/>
                <w:b w:val="0"/>
                <w:color w:val="13233A"/>
                <w:sz w:val="17"/>
              </w:rPr>
              <w:t>Now</w:t>
            </w:r>
          </w:p>
        </w:tc>
      </w:tr>
      <w:tr>
        <w:tc>
          <w:tcPr>
            <w:tcW w:type="dxa" w:w="650"/>
            <w:shd w:fill="E8EEF5" w:val="clear"/>
          </w:tcPr>
          <w:p>
            <w:pPr>
              <w:spacing w:before="0" w:after="0" w:line="264" w:lineRule="auto"/>
              <w:jc w:val="center"/>
            </w:pPr>
            <w:r/>
            <w:r>
              <w:rPr>
                <w:rFonts w:ascii="Calibri" w:hAnsi="Calibri"/>
                <w:b/>
                <w:color w:val="1F4D78"/>
                <w:sz w:val="20"/>
              </w:rPr>
              <w:t>1</w:t>
            </w:r>
          </w:p>
        </w:tc>
        <w:tc>
          <w:tcPr>
            <w:tcW w:type="dxa" w:w="2550"/>
            <w:shd w:fill="FFFFFF" w:val="clear"/>
          </w:tcPr>
          <w:p>
            <w:pPr>
              <w:spacing w:before="0" w:after="0" w:line="264" w:lineRule="auto"/>
            </w:pPr>
            <w:r/>
            <w:r>
              <w:rPr>
                <w:rFonts w:ascii="Calibri" w:hAnsi="Calibri"/>
                <w:b/>
                <w:color w:val="13233A"/>
                <w:sz w:val="17"/>
              </w:rPr>
              <w:t>Make city ledgers dependable</w:t>
            </w:r>
          </w:p>
        </w:tc>
        <w:tc>
          <w:tcPr>
            <w:tcW w:type="dxa" w:w="5080"/>
            <w:shd w:fill="FFFFFF" w:val="clear"/>
          </w:tcPr>
          <w:p>
            <w:pPr>
              <w:spacing w:before="0" w:after="0" w:line="264" w:lineRule="auto"/>
            </w:pPr>
            <w:r/>
            <w:r>
              <w:rPr>
                <w:rFonts w:ascii="Calibri" w:hAnsi="Calibri"/>
                <w:b w:val="0"/>
                <w:color w:val="13233A"/>
                <w:sz w:val="17"/>
              </w:rPr>
              <w:t>One isolated city ledger per approved city; no sensitive source records in it.</w:t>
            </w:r>
          </w:p>
        </w:tc>
        <w:tc>
          <w:tcPr>
            <w:tcW w:type="dxa" w:w="1080"/>
            <w:shd w:fill="FFFFFF" w:val="clear"/>
          </w:tcPr>
          <w:p>
            <w:pPr>
              <w:spacing w:before="0" w:after="0" w:line="264" w:lineRule="auto"/>
            </w:pPr>
            <w:r/>
            <w:r>
              <w:rPr>
                <w:rFonts w:ascii="Calibri" w:hAnsi="Calibri"/>
                <w:b w:val="0"/>
                <w:color w:val="13233A"/>
                <w:sz w:val="17"/>
              </w:rPr>
              <w:t>Pilot cities</w:t>
            </w:r>
          </w:p>
        </w:tc>
      </w:tr>
      <w:tr>
        <w:tc>
          <w:tcPr>
            <w:tcW w:type="dxa" w:w="650"/>
            <w:shd w:fill="E8EEF5" w:val="clear"/>
          </w:tcPr>
          <w:p>
            <w:pPr>
              <w:spacing w:before="0" w:after="0" w:line="264" w:lineRule="auto"/>
              <w:jc w:val="center"/>
            </w:pPr>
            <w:r/>
            <w:r>
              <w:rPr>
                <w:rFonts w:ascii="Calibri" w:hAnsi="Calibri"/>
                <w:b/>
                <w:color w:val="1F4D78"/>
                <w:sz w:val="20"/>
              </w:rPr>
              <w:t>2</w:t>
            </w:r>
          </w:p>
        </w:tc>
        <w:tc>
          <w:tcPr>
            <w:tcW w:type="dxa" w:w="2550"/>
            <w:shd w:fill="F7FAFD" w:val="clear"/>
          </w:tcPr>
          <w:p>
            <w:pPr>
              <w:spacing w:before="0" w:after="0" w:line="264" w:lineRule="auto"/>
            </w:pPr>
            <w:r/>
            <w:r>
              <w:rPr>
                <w:rFonts w:ascii="Calibri" w:hAnsi="Calibri"/>
                <w:b/>
                <w:color w:val="13233A"/>
                <w:sz w:val="17"/>
              </w:rPr>
              <w:t>Make portability real</w:t>
            </w:r>
          </w:p>
        </w:tc>
        <w:tc>
          <w:tcPr>
            <w:tcW w:type="dxa" w:w="5080"/>
            <w:shd w:fill="F7FAFD" w:val="clear"/>
          </w:tcPr>
          <w:p>
            <w:pPr>
              <w:spacing w:before="0" w:after="0" w:line="264" w:lineRule="auto"/>
            </w:pPr>
            <w:r/>
            <w:r>
              <w:rPr>
                <w:rFonts w:ascii="Calibri" w:hAnsi="Calibri"/>
                <w:b w:val="0"/>
                <w:color w:val="13233A"/>
                <w:sz w:val="17"/>
              </w:rPr>
              <w:t>Exports, restore tests, auditable event contracts, and ownership boundaries.</w:t>
            </w:r>
          </w:p>
        </w:tc>
        <w:tc>
          <w:tcPr>
            <w:tcW w:type="dxa" w:w="1080"/>
            <w:shd w:fill="F7FAFD" w:val="clear"/>
          </w:tcPr>
          <w:p>
            <w:pPr>
              <w:spacing w:before="0" w:after="0" w:line="264" w:lineRule="auto"/>
            </w:pPr>
            <w:r/>
            <w:r>
              <w:rPr>
                <w:rFonts w:ascii="Calibri" w:hAnsi="Calibri"/>
                <w:b w:val="0"/>
                <w:color w:val="13233A"/>
                <w:sz w:val="17"/>
              </w:rPr>
              <w:t>Before broad adoption</w:t>
            </w:r>
          </w:p>
        </w:tc>
      </w:tr>
      <w:tr>
        <w:tc>
          <w:tcPr>
            <w:tcW w:type="dxa" w:w="650"/>
            <w:shd w:fill="E8EEF5" w:val="clear"/>
          </w:tcPr>
          <w:p>
            <w:pPr>
              <w:spacing w:before="0" w:after="0" w:line="264" w:lineRule="auto"/>
              <w:jc w:val="center"/>
            </w:pPr>
            <w:r/>
            <w:r>
              <w:rPr>
                <w:rFonts w:ascii="Calibri" w:hAnsi="Calibri"/>
                <w:b/>
                <w:color w:val="1F4D78"/>
                <w:sz w:val="20"/>
              </w:rPr>
              <w:t>3</w:t>
            </w:r>
          </w:p>
        </w:tc>
        <w:tc>
          <w:tcPr>
            <w:tcW w:type="dxa" w:w="2550"/>
            <w:shd w:fill="FFFFFF" w:val="clear"/>
          </w:tcPr>
          <w:p>
            <w:pPr>
              <w:spacing w:before="0" w:after="0" w:line="264" w:lineRule="auto"/>
            </w:pPr>
            <w:r/>
            <w:r>
              <w:rPr>
                <w:rFonts w:ascii="Calibri" w:hAnsi="Calibri"/>
                <w:b/>
                <w:color w:val="13233A"/>
                <w:sz w:val="17"/>
              </w:rPr>
              <w:t>Offer organization-operated nodes</w:t>
            </w:r>
          </w:p>
        </w:tc>
        <w:tc>
          <w:tcPr>
            <w:tcW w:type="dxa" w:w="5080"/>
            <w:shd w:fill="FFFFFF" w:val="clear"/>
          </w:tcPr>
          <w:p>
            <w:pPr>
              <w:spacing w:before="0" w:after="0" w:line="264" w:lineRule="auto"/>
            </w:pPr>
            <w:r/>
            <w:r>
              <w:rPr>
                <w:rFonts w:ascii="Calibri" w:hAnsi="Calibri"/>
                <w:b w:val="0"/>
                <w:color w:val="13233A"/>
                <w:sz w:val="17"/>
              </w:rPr>
              <w:t>Opt-in database isolation for organizations with a genuine need to operate data.</w:t>
            </w:r>
          </w:p>
        </w:tc>
        <w:tc>
          <w:tcPr>
            <w:tcW w:type="dxa" w:w="1080"/>
            <w:shd w:fill="FFFFFF" w:val="clear"/>
          </w:tcPr>
          <w:p>
            <w:pPr>
              <w:spacing w:before="0" w:after="0" w:line="264" w:lineRule="auto"/>
            </w:pPr>
            <w:r/>
            <w:r>
              <w:rPr>
                <w:rFonts w:ascii="Calibri" w:hAnsi="Calibri"/>
                <w:b w:val="0"/>
                <w:color w:val="13233A"/>
                <w:sz w:val="17"/>
              </w:rPr>
              <w:t>Qualified partners</w:t>
            </w:r>
          </w:p>
        </w:tc>
      </w:tr>
      <w:tr>
        <w:tc>
          <w:tcPr>
            <w:tcW w:type="dxa" w:w="650"/>
            <w:shd w:fill="E8EEF5" w:val="clear"/>
          </w:tcPr>
          <w:p>
            <w:pPr>
              <w:spacing w:before="0" w:after="0" w:line="264" w:lineRule="auto"/>
              <w:jc w:val="center"/>
            </w:pPr>
            <w:r/>
            <w:r>
              <w:rPr>
                <w:rFonts w:ascii="Calibri" w:hAnsi="Calibri"/>
                <w:b/>
                <w:color w:val="1F4D78"/>
                <w:sz w:val="20"/>
              </w:rPr>
              <w:t>4</w:t>
            </w:r>
          </w:p>
        </w:tc>
        <w:tc>
          <w:tcPr>
            <w:tcW w:type="dxa" w:w="2550"/>
            <w:shd w:fill="F7FAFD" w:val="clear"/>
          </w:tcPr>
          <w:p>
            <w:pPr>
              <w:spacing w:before="0" w:after="0" w:line="264" w:lineRule="auto"/>
            </w:pPr>
            <w:r/>
            <w:r>
              <w:rPr>
                <w:rFonts w:ascii="Calibri" w:hAnsi="Calibri"/>
                <w:b/>
                <w:color w:val="13233A"/>
                <w:sz w:val="17"/>
              </w:rPr>
              <w:t>Support city-operated infrastructure</w:t>
            </w:r>
          </w:p>
        </w:tc>
        <w:tc>
          <w:tcPr>
            <w:tcW w:type="dxa" w:w="5080"/>
            <w:shd w:fill="F7FAFD" w:val="clear"/>
          </w:tcPr>
          <w:p>
            <w:pPr>
              <w:spacing w:before="0" w:after="0" w:line="264" w:lineRule="auto"/>
            </w:pPr>
            <w:r/>
            <w:r>
              <w:rPr>
                <w:rFonts w:ascii="Calibri" w:hAnsi="Calibri"/>
                <w:b w:val="0"/>
                <w:color w:val="13233A"/>
                <w:sz w:val="17"/>
              </w:rPr>
              <w:t>Cities or chapters operate ledger/node infrastructure under published policies.</w:t>
            </w:r>
          </w:p>
        </w:tc>
        <w:tc>
          <w:tcPr>
            <w:tcW w:type="dxa" w:w="1080"/>
            <w:shd w:fill="F7FAFD" w:val="clear"/>
          </w:tcPr>
          <w:p>
            <w:pPr>
              <w:spacing w:before="0" w:after="0" w:line="264" w:lineRule="auto"/>
            </w:pPr>
            <w:r/>
            <w:r>
              <w:rPr>
                <w:rFonts w:ascii="Calibri" w:hAnsi="Calibri"/>
                <w:b w:val="0"/>
                <w:color w:val="13233A"/>
                <w:sz w:val="17"/>
              </w:rPr>
              <w:t>Mature networks</w:t>
            </w:r>
          </w:p>
        </w:tc>
      </w:tr>
      <w:tr>
        <w:tc>
          <w:tcPr>
            <w:tcW w:type="dxa" w:w="650"/>
            <w:shd w:fill="E8EEF5" w:val="clear"/>
          </w:tcPr>
          <w:p>
            <w:pPr>
              <w:spacing w:before="0" w:after="0" w:line="264" w:lineRule="auto"/>
              <w:jc w:val="center"/>
            </w:pPr>
            <w:r/>
            <w:r>
              <w:rPr>
                <w:rFonts w:ascii="Calibri" w:hAnsi="Calibri"/>
                <w:b/>
                <w:color w:val="1F4D78"/>
                <w:sz w:val="20"/>
              </w:rPr>
              <w:t>5</w:t>
            </w:r>
          </w:p>
        </w:tc>
        <w:tc>
          <w:tcPr>
            <w:tcW w:type="dxa" w:w="2550"/>
            <w:shd w:fill="FFFFFF" w:val="clear"/>
          </w:tcPr>
          <w:p>
            <w:pPr>
              <w:spacing w:before="0" w:after="0" w:line="264" w:lineRule="auto"/>
            </w:pPr>
            <w:r/>
            <w:r>
              <w:rPr>
                <w:rFonts w:ascii="Calibri" w:hAnsi="Calibri"/>
                <w:b/>
                <w:color w:val="13233A"/>
                <w:sz w:val="17"/>
              </w:rPr>
              <w:t>Standardize the protocol</w:t>
            </w:r>
          </w:p>
        </w:tc>
        <w:tc>
          <w:tcPr>
            <w:tcW w:type="dxa" w:w="5080"/>
            <w:shd w:fill="FFFFFF" w:val="clear"/>
          </w:tcPr>
          <w:p>
            <w:pPr>
              <w:spacing w:before="0" w:after="0" w:line="264" w:lineRule="auto"/>
            </w:pPr>
            <w:r/>
            <w:r>
              <w:rPr>
                <w:rFonts w:ascii="Calibri" w:hAnsi="Calibri"/>
                <w:b w:val="0"/>
                <w:color w:val="13233A"/>
                <w:sz w:val="17"/>
              </w:rPr>
              <w:t>Policy versions, signed events, interoperability, and optional public settlement.</w:t>
            </w:r>
          </w:p>
        </w:tc>
        <w:tc>
          <w:tcPr>
            <w:tcW w:type="dxa" w:w="1080"/>
            <w:shd w:fill="FFFFFF" w:val="clear"/>
          </w:tcPr>
          <w:p>
            <w:pPr>
              <w:spacing w:before="0" w:after="0" w:line="264" w:lineRule="auto"/>
            </w:pPr>
            <w:r/>
            <w:r>
              <w:rPr>
                <w:rFonts w:ascii="Calibri" w:hAnsi="Calibri"/>
                <w:b w:val="0"/>
                <w:color w:val="13233A"/>
                <w:sz w:val="17"/>
              </w:rPr>
              <w:t>Long-term</w:t>
            </w:r>
          </w:p>
        </w:tc>
      </w:tr>
    </w:tbl>
    <w:p>
      <w:pPr>
        <w:spacing w:after="120"/>
      </w:pPr>
    </w:p>
    <w:p>
      <w:pPr>
        <w:pStyle w:val="Heading2"/>
      </w:pPr>
      <w:r>
        <w:rPr>
          <w:rFonts w:ascii="Calibri" w:hAnsi="Calibri"/>
          <w:b/>
          <w:color w:val="2E74B5"/>
          <w:sz w:val="26"/>
        </w:rPr>
        <w:t>Phase 0 - Stabilize the shared core</w:t>
      </w:r>
    </w:p>
    <w:p>
      <w:r>
        <w:rPr>
          <w:rFonts w:ascii="Calibri" w:hAnsi="Calibri"/>
          <w:color w:val="13233A"/>
          <w:sz w:val="21"/>
        </w:rPr>
        <w:t>The immediate job is operational trust. The shared core should be reliable enough to support real organizations before its data is distributed further.</w:t>
      </w:r>
    </w:p>
    <w:p>
      <w:pPr>
        <w:pStyle w:val="ListNumber"/>
        <w:spacing w:after="100" w:line="280" w:lineRule="auto"/>
      </w:pPr>
      <w:r>
        <w:rPr>
          <w:rFonts w:ascii="Calibri" w:hAnsi="Calibri"/>
          <w:color w:val="13233A"/>
          <w:sz w:val="21"/>
        </w:rPr>
        <w:t>Treat database migrations as a release requirement. Every deployment environment must receive the current schema before application code that expects it is activated.</w:t>
      </w:r>
    </w:p>
    <w:p>
      <w:pPr>
        <w:pStyle w:val="ListNumber"/>
        <w:spacing w:after="100" w:line="280" w:lineRule="auto"/>
      </w:pPr>
      <w:r>
        <w:rPr>
          <w:rFonts w:ascii="Calibri" w:hAnsi="Calibri"/>
          <w:color w:val="13233A"/>
          <w:sz w:val="21"/>
        </w:rPr>
        <w:t>Separate production and staging databases and credentials. A preview build must never silently share or alter production records.</w:t>
      </w:r>
    </w:p>
    <w:p>
      <w:pPr>
        <w:pStyle w:val="ListNumber"/>
        <w:spacing w:after="100" w:line="280" w:lineRule="auto"/>
      </w:pPr>
      <w:r>
        <w:rPr>
          <w:rFonts w:ascii="Calibri" w:hAnsi="Calibri"/>
          <w:color w:val="13233A"/>
          <w:sz w:val="21"/>
        </w:rPr>
        <w:t>Create automated backup, restore, and rollback exercises for the core database and every city ledger.</w:t>
      </w:r>
    </w:p>
    <w:p>
      <w:pPr>
        <w:pStyle w:val="ListNumber"/>
        <w:spacing w:after="100" w:line="280" w:lineRule="auto"/>
      </w:pPr>
      <w:r>
        <w:rPr>
          <w:rFonts w:ascii="Calibri" w:hAnsi="Calibri"/>
          <w:color w:val="13233A"/>
          <w:sz w:val="21"/>
        </w:rPr>
        <w:t>Maintain tenant-scoped authorization tests: a user can access only the organization and city records their active identity authorizes.</w:t>
      </w:r>
    </w:p>
    <w:p>
      <w:pPr>
        <w:pStyle w:val="ListNumber"/>
        <w:spacing w:after="100" w:line="280" w:lineRule="auto"/>
      </w:pPr>
      <w:r>
        <w:rPr>
          <w:rFonts w:ascii="Calibri" w:hAnsi="Calibri"/>
          <w:color w:val="13233A"/>
          <w:sz w:val="21"/>
        </w:rPr>
        <w:t>Add runtime health checks for database connectivity, schema compatibility, and ledger-outbox delivery failures.</w:t>
      </w:r>
    </w:p>
    <w:p>
      <w:pPr>
        <w:pStyle w:val="Heading2"/>
      </w:pPr>
      <w:r>
        <w:rPr>
          <w:rFonts w:ascii="Calibri" w:hAnsi="Calibri"/>
          <w:b/>
          <w:color w:val="2E74B5"/>
          <w:sz w:val="26"/>
        </w:rPr>
        <w:t>Phase 1 - Establish dependable city ledgers</w:t>
      </w:r>
    </w:p>
    <w:p>
      <w:r>
        <w:rPr>
          <w:rFonts w:ascii="Calibri" w:hAnsi="Calibri"/>
          <w:color w:val="13233A"/>
          <w:sz w:val="21"/>
        </w:rPr>
        <w:t>A new approved city receives its own ledger database. The city ledger owns city-specific wallets, credit entries, hashes, and anchors. It does not replace the shared core or host all application records.</w:t>
      </w:r>
    </w:p>
    <w:p>
      <w:pPr>
        <w:pStyle w:val="ListBullet"/>
        <w:spacing w:after="20" w:line="250" w:lineRule="auto"/>
      </w:pPr>
      <w:r>
        <w:rPr>
          <w:rFonts w:ascii="Calibri" w:hAnsi="Calibri"/>
          <w:color w:val="13233A"/>
          <w:sz w:val="19"/>
        </w:rPr>
        <w:t>Use a durable outbox in the core database so a successful operational action can be delivered idempotently to the correct city ledger.</w:t>
      </w:r>
    </w:p>
    <w:p>
      <w:pPr>
        <w:pStyle w:val="ListBullet"/>
        <w:spacing w:after="20" w:line="250" w:lineRule="auto"/>
      </w:pPr>
      <w:r>
        <w:rPr>
          <w:rFonts w:ascii="Calibri" w:hAnsi="Calibri"/>
          <w:color w:val="13233A"/>
          <w:sz w:val="19"/>
        </w:rPr>
        <w:t>Record event type, timestamp, actor reference, policy reference, and a minimal payload hash. Do not replicate private source data.</w:t>
      </w:r>
    </w:p>
    <w:p>
      <w:pPr>
        <w:pStyle w:val="ListBullet"/>
        <w:spacing w:after="20" w:line="250" w:lineRule="auto"/>
      </w:pPr>
      <w:r>
        <w:rPr>
          <w:rFonts w:ascii="Calibri" w:hAnsi="Calibri"/>
          <w:color w:val="13233A"/>
          <w:sz w:val="19"/>
        </w:rPr>
        <w:t>Publish a city data policy explaining what the ledger does and does not contain.</w:t>
      </w:r>
    </w:p>
    <w:p>
      <w:pPr>
        <w:pStyle w:val="ListBullet"/>
        <w:spacing w:after="20" w:line="250" w:lineRule="auto"/>
      </w:pPr>
      <w:r>
        <w:rPr>
          <w:rFonts w:ascii="Calibri" w:hAnsi="Calibri"/>
          <w:color w:val="13233A"/>
          <w:sz w:val="19"/>
        </w:rPr>
        <w:t>Give each city a repeatable database-provisioning, credential-rotation, backup, and operator-assignment checklist.</w:t>
      </w:r>
    </w:p>
    <w:p>
      <w:r>
        <w:br w:type="page"/>
      </w:r>
    </w:p>
    <w:p>
      <w:pPr>
        <w:pStyle w:val="Heading1"/>
      </w:pPr>
      <w:r>
        <w:rPr>
          <w:rFonts w:ascii="Calibri" w:hAnsi="Calibri"/>
          <w:b/>
          <w:color w:val="2E74B5"/>
          <w:sz w:val="32"/>
        </w:rPr>
        <w:t>Data placement and sharing rules</w:t>
      </w:r>
    </w:p>
    <w:p>
      <w:pPr>
        <w:spacing w:line="274" w:lineRule="auto"/>
      </w:pPr>
      <w:r>
        <w:rPr>
          <w:rFonts w:ascii="Calibri" w:hAnsi="Calibri"/>
          <w:color w:val="5C6673"/>
          <w:sz w:val="21"/>
        </w:rPr>
        <w:t>The following matrix is the practical boundary City/Sync should preserve while it evolves. It is intentionally conservative: a city ledger is a verification layer, not a secondary warehouse for organization data.</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800"/>
        <w:gridCol w:w="2350"/>
        <w:gridCol w:w="2800"/>
        <w:gridCol w:w="2410"/>
      </w:tblGrid>
      <w:tr>
        <w:trPr>
          <w:tblHeader w:val="true"/>
        </w:trPr>
        <w:tc>
          <w:tcPr>
            <w:tcW w:type="dxa" w:w="18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DATA CATEGORY</w:t>
            </w:r>
          </w:p>
        </w:tc>
        <w:tc>
          <w:tcPr>
            <w:tcW w:type="dxa" w:w="235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CURRENT HOME</w:t>
            </w:r>
          </w:p>
        </w:tc>
        <w:tc>
          <w:tcPr>
            <w:tcW w:type="dxa" w:w="28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FUTURE ORGANIZATION NODE</w:t>
            </w:r>
          </w:p>
        </w:tc>
        <w:tc>
          <w:tcPr>
            <w:tcW w:type="dxa" w:w="241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CITY LEDGER TREATMENT</w:t>
            </w:r>
          </w:p>
        </w:tc>
      </w:tr>
      <w:tr>
        <w:tc>
          <w:tcPr>
            <w:tcW w:type="dxa" w:w="1800"/>
            <w:shd w:fill="FFFFFF" w:val="clear"/>
          </w:tcPr>
          <w:p>
            <w:pPr>
              <w:spacing w:before="0" w:after="0" w:line="264" w:lineRule="auto"/>
            </w:pPr>
            <w:r/>
            <w:r>
              <w:rPr>
                <w:rFonts w:ascii="Calibri" w:hAnsi="Calibri"/>
                <w:b/>
                <w:color w:val="13233A"/>
                <w:sz w:val="17"/>
              </w:rPr>
              <w:t>Participant account + contact</w:t>
            </w:r>
          </w:p>
        </w:tc>
        <w:tc>
          <w:tcPr>
            <w:tcW w:type="dxa" w:w="2350"/>
            <w:shd w:fill="FFFFFF" w:val="clear"/>
          </w:tcPr>
          <w:p>
            <w:pPr>
              <w:spacing w:before="0" w:after="0" w:line="264" w:lineRule="auto"/>
            </w:pPr>
            <w:r/>
            <w:r>
              <w:rPr>
                <w:rFonts w:ascii="Calibri" w:hAnsi="Calibri"/>
                <w:b w:val="0"/>
                <w:color w:val="13233A"/>
                <w:sz w:val="17"/>
              </w:rPr>
              <w:t>Shared core</w:t>
            </w:r>
          </w:p>
        </w:tc>
        <w:tc>
          <w:tcPr>
            <w:tcW w:type="dxa" w:w="2800"/>
            <w:shd w:fill="FFFFFF" w:val="clear"/>
          </w:tcPr>
          <w:p>
            <w:pPr>
              <w:spacing w:before="0" w:after="0" w:line="264" w:lineRule="auto"/>
            </w:pPr>
            <w:r/>
            <w:r>
              <w:rPr>
                <w:rFonts w:ascii="Calibri" w:hAnsi="Calibri"/>
                <w:b w:val="0"/>
                <w:color w:val="13233A"/>
                <w:sz w:val="17"/>
              </w:rPr>
              <w:t>May retain an organization-specific participation reference; do not copy contact details by default.</w:t>
            </w:r>
          </w:p>
        </w:tc>
        <w:tc>
          <w:tcPr>
            <w:tcW w:type="dxa" w:w="2410"/>
            <w:shd w:fill="FFFFFF" w:val="clear"/>
          </w:tcPr>
          <w:p>
            <w:pPr>
              <w:spacing w:before="0" w:after="0" w:line="264" w:lineRule="auto"/>
            </w:pPr>
            <w:r/>
            <w:r>
              <w:rPr>
                <w:rFonts w:ascii="Calibri" w:hAnsi="Calibri"/>
                <w:b w:val="0"/>
                <w:color w:val="13233A"/>
                <w:sz w:val="17"/>
              </w:rPr>
              <w:t>Never publish. Only a pseudonymous or scoped actor reference when required.</w:t>
            </w:r>
          </w:p>
        </w:tc>
      </w:tr>
      <w:tr>
        <w:tc>
          <w:tcPr>
            <w:tcW w:type="dxa" w:w="1800"/>
            <w:shd w:fill="FAFBFC" w:val="clear"/>
          </w:tcPr>
          <w:p>
            <w:pPr>
              <w:spacing w:before="0" w:after="0" w:line="264" w:lineRule="auto"/>
            </w:pPr>
            <w:r/>
            <w:r>
              <w:rPr>
                <w:rFonts w:ascii="Calibri" w:hAnsi="Calibri"/>
                <w:b/>
                <w:color w:val="13233A"/>
                <w:sz w:val="17"/>
              </w:rPr>
              <w:t>Organization roles + permissions</w:t>
            </w:r>
          </w:p>
        </w:tc>
        <w:tc>
          <w:tcPr>
            <w:tcW w:type="dxa" w:w="2350"/>
            <w:shd w:fill="FAFBFC" w:val="clear"/>
          </w:tcPr>
          <w:p>
            <w:pPr>
              <w:spacing w:before="0" w:after="0" w:line="264" w:lineRule="auto"/>
            </w:pPr>
            <w:r/>
            <w:r>
              <w:rPr>
                <w:rFonts w:ascii="Calibri" w:hAnsi="Calibri"/>
                <w:b w:val="0"/>
                <w:color w:val="13233A"/>
                <w:sz w:val="17"/>
              </w:rPr>
              <w:t>Shared core</w:t>
            </w:r>
          </w:p>
        </w:tc>
        <w:tc>
          <w:tcPr>
            <w:tcW w:type="dxa" w:w="2800"/>
            <w:shd w:fill="FAFBFC" w:val="clear"/>
          </w:tcPr>
          <w:p>
            <w:pPr>
              <w:spacing w:before="0" w:after="0" w:line="264" w:lineRule="auto"/>
            </w:pPr>
            <w:r/>
            <w:r>
              <w:rPr>
                <w:rFonts w:ascii="Calibri" w:hAnsi="Calibri"/>
                <w:b w:val="0"/>
                <w:color w:val="13233A"/>
                <w:sz w:val="17"/>
              </w:rPr>
              <w:t>Organization node may become the authority for its own staff/delegation roles.</w:t>
            </w:r>
          </w:p>
        </w:tc>
        <w:tc>
          <w:tcPr>
            <w:tcW w:type="dxa" w:w="2410"/>
            <w:shd w:fill="FAFBFC" w:val="clear"/>
          </w:tcPr>
          <w:p>
            <w:pPr>
              <w:spacing w:before="0" w:after="0" w:line="264" w:lineRule="auto"/>
            </w:pPr>
            <w:r/>
            <w:r>
              <w:rPr>
                <w:rFonts w:ascii="Calibri" w:hAnsi="Calibri"/>
                <w:b w:val="0"/>
                <w:color w:val="13233A"/>
                <w:sz w:val="17"/>
              </w:rPr>
              <w:t>Record only an action or policy reference if a role exercised a city-governed authority.</w:t>
            </w:r>
          </w:p>
        </w:tc>
      </w:tr>
      <w:tr>
        <w:tc>
          <w:tcPr>
            <w:tcW w:type="dxa" w:w="1800"/>
            <w:shd w:fill="FFFFFF" w:val="clear"/>
          </w:tcPr>
          <w:p>
            <w:pPr>
              <w:spacing w:before="0" w:after="0" w:line="264" w:lineRule="auto"/>
            </w:pPr>
            <w:r/>
            <w:r>
              <w:rPr>
                <w:rFonts w:ascii="Calibri" w:hAnsi="Calibri"/>
                <w:b/>
                <w:color w:val="13233A"/>
                <w:sz w:val="17"/>
              </w:rPr>
              <w:t>Roster, attendance detail, eligibility</w:t>
            </w:r>
          </w:p>
        </w:tc>
        <w:tc>
          <w:tcPr>
            <w:tcW w:type="dxa" w:w="2350"/>
            <w:shd w:fill="FFFFFF" w:val="clear"/>
          </w:tcPr>
          <w:p>
            <w:pPr>
              <w:spacing w:before="0" w:after="0" w:line="264" w:lineRule="auto"/>
            </w:pPr>
            <w:r/>
            <w:r>
              <w:rPr>
                <w:rFonts w:ascii="Calibri" w:hAnsi="Calibri"/>
                <w:b w:val="0"/>
                <w:color w:val="13233A"/>
                <w:sz w:val="17"/>
              </w:rPr>
              <w:t>Shared core</w:t>
            </w:r>
          </w:p>
        </w:tc>
        <w:tc>
          <w:tcPr>
            <w:tcW w:type="dxa" w:w="2800"/>
            <w:shd w:fill="FFFFFF" w:val="clear"/>
          </w:tcPr>
          <w:p>
            <w:pPr>
              <w:spacing w:before="0" w:after="0" w:line="264" w:lineRule="auto"/>
            </w:pPr>
            <w:r/>
            <w:r>
              <w:rPr>
                <w:rFonts w:ascii="Calibri" w:hAnsi="Calibri"/>
                <w:b w:val="0"/>
                <w:color w:val="13233A"/>
                <w:sz w:val="17"/>
              </w:rPr>
              <w:t>Natural candidate for organization-operated storage when an organization needs it.</w:t>
            </w:r>
          </w:p>
        </w:tc>
        <w:tc>
          <w:tcPr>
            <w:tcW w:type="dxa" w:w="2410"/>
            <w:shd w:fill="FFFFFF" w:val="clear"/>
          </w:tcPr>
          <w:p>
            <w:pPr>
              <w:spacing w:before="0" w:after="0" w:line="264" w:lineRule="auto"/>
            </w:pPr>
            <w:r/>
            <w:r>
              <w:rPr>
                <w:rFonts w:ascii="Calibri" w:hAnsi="Calibri"/>
                <w:b w:val="0"/>
                <w:color w:val="13233A"/>
                <w:sz w:val="17"/>
              </w:rPr>
              <w:t>Do not copy the roster. Emit a minimal verified-contribution event only.</w:t>
            </w:r>
          </w:p>
        </w:tc>
      </w:tr>
      <w:tr>
        <w:tc>
          <w:tcPr>
            <w:tcW w:type="dxa" w:w="1800"/>
            <w:shd w:fill="FAFBFC" w:val="clear"/>
          </w:tcPr>
          <w:p>
            <w:pPr>
              <w:spacing w:before="0" w:after="0" w:line="264" w:lineRule="auto"/>
            </w:pPr>
            <w:r/>
            <w:r>
              <w:rPr>
                <w:rFonts w:ascii="Calibri" w:hAnsi="Calibri"/>
                <w:b/>
                <w:color w:val="13233A"/>
                <w:sz w:val="17"/>
              </w:rPr>
              <w:t>Waivers, identity documents, source files</w:t>
            </w:r>
          </w:p>
        </w:tc>
        <w:tc>
          <w:tcPr>
            <w:tcW w:type="dxa" w:w="2350"/>
            <w:shd w:fill="FAFBFC" w:val="clear"/>
          </w:tcPr>
          <w:p>
            <w:pPr>
              <w:spacing w:before="0" w:after="0" w:line="264" w:lineRule="auto"/>
            </w:pPr>
            <w:r/>
            <w:r>
              <w:rPr>
                <w:rFonts w:ascii="Calibri" w:hAnsi="Calibri"/>
                <w:b w:val="0"/>
                <w:color w:val="13233A"/>
                <w:sz w:val="17"/>
              </w:rPr>
              <w:t>Core metadata + managed private file storage</w:t>
            </w:r>
          </w:p>
        </w:tc>
        <w:tc>
          <w:tcPr>
            <w:tcW w:type="dxa" w:w="2800"/>
            <w:shd w:fill="FAFBFC" w:val="clear"/>
          </w:tcPr>
          <w:p>
            <w:pPr>
              <w:spacing w:before="0" w:after="0" w:line="264" w:lineRule="auto"/>
            </w:pPr>
            <w:r/>
            <w:r>
              <w:rPr>
                <w:rFonts w:ascii="Calibri" w:hAnsi="Calibri"/>
                <w:b w:val="0"/>
                <w:color w:val="13233A"/>
                <w:sz w:val="17"/>
              </w:rPr>
              <w:t>Keep under organization-controlled storage when ownership or regulation requires it.</w:t>
            </w:r>
          </w:p>
        </w:tc>
        <w:tc>
          <w:tcPr>
            <w:tcW w:type="dxa" w:w="2410"/>
            <w:shd w:fill="FAFBFC" w:val="clear"/>
          </w:tcPr>
          <w:p>
            <w:pPr>
              <w:spacing w:before="0" w:after="0" w:line="264" w:lineRule="auto"/>
            </w:pPr>
            <w:r/>
            <w:r>
              <w:rPr>
                <w:rFonts w:ascii="Calibri" w:hAnsi="Calibri"/>
                <w:b w:val="0"/>
                <w:color w:val="13233A"/>
                <w:sz w:val="17"/>
              </w:rPr>
              <w:t>Never place contents or identifying material on the ledger.</w:t>
            </w:r>
          </w:p>
        </w:tc>
      </w:tr>
      <w:tr>
        <w:tc>
          <w:tcPr>
            <w:tcW w:type="dxa" w:w="1800"/>
            <w:shd w:fill="FFFFFF" w:val="clear"/>
          </w:tcPr>
          <w:p>
            <w:pPr>
              <w:spacing w:before="0" w:after="0" w:line="264" w:lineRule="auto"/>
            </w:pPr>
            <w:r/>
            <w:r>
              <w:rPr>
                <w:rFonts w:ascii="Calibri" w:hAnsi="Calibri"/>
                <w:b/>
                <w:color w:val="13233A"/>
                <w:sz w:val="17"/>
              </w:rPr>
              <w:t>Opportunity template + shift instance</w:t>
            </w:r>
          </w:p>
        </w:tc>
        <w:tc>
          <w:tcPr>
            <w:tcW w:type="dxa" w:w="2350"/>
            <w:shd w:fill="FFFFFF" w:val="clear"/>
          </w:tcPr>
          <w:p>
            <w:pPr>
              <w:spacing w:before="0" w:after="0" w:line="264" w:lineRule="auto"/>
            </w:pPr>
            <w:r/>
            <w:r>
              <w:rPr>
                <w:rFonts w:ascii="Calibri" w:hAnsi="Calibri"/>
                <w:b w:val="0"/>
                <w:color w:val="13233A"/>
                <w:sz w:val="17"/>
              </w:rPr>
              <w:t>Shared core</w:t>
            </w:r>
          </w:p>
        </w:tc>
        <w:tc>
          <w:tcPr>
            <w:tcW w:type="dxa" w:w="2800"/>
            <w:shd w:fill="FFFFFF" w:val="clear"/>
          </w:tcPr>
          <w:p>
            <w:pPr>
              <w:spacing w:before="0" w:after="0" w:line="264" w:lineRule="auto"/>
            </w:pPr>
            <w:r/>
            <w:r>
              <w:rPr>
                <w:rFonts w:ascii="Calibri" w:hAnsi="Calibri"/>
                <w:b w:val="0"/>
                <w:color w:val="13233A"/>
                <w:sz w:val="17"/>
              </w:rPr>
              <w:t>Organization node can publish its own signed canonical representation.</w:t>
            </w:r>
          </w:p>
        </w:tc>
        <w:tc>
          <w:tcPr>
            <w:tcW w:type="dxa" w:w="2410"/>
            <w:shd w:fill="FFFFFF" w:val="clear"/>
          </w:tcPr>
          <w:p>
            <w:pPr>
              <w:spacing w:before="0" w:after="0" w:line="264" w:lineRule="auto"/>
            </w:pPr>
            <w:r/>
            <w:r>
              <w:rPr>
                <w:rFonts w:ascii="Calibri" w:hAnsi="Calibri"/>
                <w:b w:val="0"/>
                <w:color w:val="13233A"/>
                <w:sz w:val="17"/>
              </w:rPr>
              <w:t>City sees public availability metadata and any resulting verified event, if policy allows.</w:t>
            </w:r>
          </w:p>
        </w:tc>
      </w:tr>
      <w:tr>
        <w:tc>
          <w:tcPr>
            <w:tcW w:type="dxa" w:w="1800"/>
            <w:shd w:fill="FAFBFC" w:val="clear"/>
          </w:tcPr>
          <w:p>
            <w:pPr>
              <w:spacing w:before="0" w:after="0" w:line="264" w:lineRule="auto"/>
            </w:pPr>
            <w:r/>
            <w:r>
              <w:rPr>
                <w:rFonts w:ascii="Calibri" w:hAnsi="Calibri"/>
                <w:b/>
                <w:color w:val="13233A"/>
                <w:sz w:val="17"/>
              </w:rPr>
              <w:t>Verified contribution</w:t>
            </w:r>
          </w:p>
        </w:tc>
        <w:tc>
          <w:tcPr>
            <w:tcW w:type="dxa" w:w="2350"/>
            <w:shd w:fill="FAFBFC" w:val="clear"/>
          </w:tcPr>
          <w:p>
            <w:pPr>
              <w:spacing w:before="0" w:after="0" w:line="264" w:lineRule="auto"/>
            </w:pPr>
            <w:r/>
            <w:r>
              <w:rPr>
                <w:rFonts w:ascii="Calibri" w:hAnsi="Calibri"/>
                <w:b w:val="0"/>
                <w:color w:val="13233A"/>
                <w:sz w:val="17"/>
              </w:rPr>
              <w:t>Core audit/outbox</w:t>
            </w:r>
          </w:p>
        </w:tc>
        <w:tc>
          <w:tcPr>
            <w:tcW w:type="dxa" w:w="2800"/>
            <w:shd w:fill="FAFBFC" w:val="clear"/>
          </w:tcPr>
          <w:p>
            <w:pPr>
              <w:spacing w:before="0" w:after="0" w:line="264" w:lineRule="auto"/>
            </w:pPr>
            <w:r/>
            <w:r>
              <w:rPr>
                <w:rFonts w:ascii="Calibri" w:hAnsi="Calibri"/>
                <w:b w:val="0"/>
                <w:color w:val="13233A"/>
                <w:sz w:val="17"/>
              </w:rPr>
              <w:t>Organization may retain the evidence and source record.</w:t>
            </w:r>
          </w:p>
        </w:tc>
        <w:tc>
          <w:tcPr>
            <w:tcW w:type="dxa" w:w="2410"/>
            <w:shd w:fill="FAFBFC" w:val="clear"/>
          </w:tcPr>
          <w:p>
            <w:pPr>
              <w:spacing w:before="0" w:after="0" w:line="264" w:lineRule="auto"/>
            </w:pPr>
            <w:r/>
            <w:r>
              <w:rPr>
                <w:rFonts w:ascii="Calibri" w:hAnsi="Calibri"/>
                <w:b w:val="0"/>
                <w:color w:val="13233A"/>
                <w:sz w:val="17"/>
              </w:rPr>
              <w:t>City ledger receives a compact, hashed, policy-versioned event.</w:t>
            </w:r>
          </w:p>
        </w:tc>
      </w:tr>
      <w:tr>
        <w:tc>
          <w:tcPr>
            <w:tcW w:type="dxa" w:w="1800"/>
            <w:shd w:fill="FFFFFF" w:val="clear"/>
          </w:tcPr>
          <w:p>
            <w:pPr>
              <w:spacing w:before="0" w:after="0" w:line="264" w:lineRule="auto"/>
            </w:pPr>
            <w:r/>
            <w:r>
              <w:rPr>
                <w:rFonts w:ascii="Calibri" w:hAnsi="Calibri"/>
                <w:b/>
                <w:color w:val="13233A"/>
                <w:sz w:val="17"/>
              </w:rPr>
              <w:t>Civic credits + redemption history</w:t>
            </w:r>
          </w:p>
        </w:tc>
        <w:tc>
          <w:tcPr>
            <w:tcW w:type="dxa" w:w="2350"/>
            <w:shd w:fill="FFFFFF" w:val="clear"/>
          </w:tcPr>
          <w:p>
            <w:pPr>
              <w:spacing w:before="0" w:after="0" w:line="264" w:lineRule="auto"/>
            </w:pPr>
            <w:r/>
            <w:r>
              <w:rPr>
                <w:rFonts w:ascii="Calibri" w:hAnsi="Calibri"/>
                <w:b w:val="0"/>
                <w:color w:val="13233A"/>
                <w:sz w:val="17"/>
              </w:rPr>
              <w:t>City ledger</w:t>
            </w:r>
          </w:p>
        </w:tc>
        <w:tc>
          <w:tcPr>
            <w:tcW w:type="dxa" w:w="2800"/>
            <w:shd w:fill="FFFFFF" w:val="clear"/>
          </w:tcPr>
          <w:p>
            <w:pPr>
              <w:spacing w:before="0" w:after="0" w:line="264" w:lineRule="auto"/>
            </w:pPr>
            <w:r/>
            <w:r>
              <w:rPr>
                <w:rFonts w:ascii="Calibri" w:hAnsi="Calibri"/>
                <w:b w:val="0"/>
                <w:color w:val="13233A"/>
                <w:sz w:val="17"/>
              </w:rPr>
              <w:t>Organization receives only the result necessary to honor a redemption.</w:t>
            </w:r>
          </w:p>
        </w:tc>
        <w:tc>
          <w:tcPr>
            <w:tcW w:type="dxa" w:w="2410"/>
            <w:shd w:fill="FFFFFF" w:val="clear"/>
          </w:tcPr>
          <w:p>
            <w:pPr>
              <w:spacing w:before="0" w:after="0" w:line="264" w:lineRule="auto"/>
            </w:pPr>
            <w:r/>
            <w:r>
              <w:rPr>
                <w:rFonts w:ascii="Calibri" w:hAnsi="Calibri"/>
                <w:b w:val="0"/>
                <w:color w:val="13233A"/>
                <w:sz w:val="17"/>
              </w:rPr>
              <w:t>City ledger is authoritative for city-specific balances and entries.</w:t>
            </w:r>
          </w:p>
        </w:tc>
      </w:tr>
      <w:tr>
        <w:tc>
          <w:tcPr>
            <w:tcW w:type="dxa" w:w="1800"/>
            <w:shd w:fill="FAFBFC" w:val="clear"/>
          </w:tcPr>
          <w:p>
            <w:pPr>
              <w:spacing w:before="0" w:after="0" w:line="264" w:lineRule="auto"/>
            </w:pPr>
            <w:r/>
            <w:r>
              <w:rPr>
                <w:rFonts w:ascii="Calibri" w:hAnsi="Calibri"/>
                <w:b/>
                <w:color w:val="13233A"/>
                <w:sz w:val="17"/>
              </w:rPr>
              <w:t>Policy version</w:t>
            </w:r>
          </w:p>
        </w:tc>
        <w:tc>
          <w:tcPr>
            <w:tcW w:type="dxa" w:w="2350"/>
            <w:shd w:fill="FAFBFC" w:val="clear"/>
          </w:tcPr>
          <w:p>
            <w:pPr>
              <w:spacing w:before="0" w:after="0" w:line="264" w:lineRule="auto"/>
            </w:pPr>
            <w:r/>
            <w:r>
              <w:rPr>
                <w:rFonts w:ascii="Calibri" w:hAnsi="Calibri"/>
                <w:b w:val="0"/>
                <w:color w:val="13233A"/>
                <w:sz w:val="17"/>
              </w:rPr>
              <w:t>Core policy registry initially</w:t>
            </w:r>
          </w:p>
        </w:tc>
        <w:tc>
          <w:tcPr>
            <w:tcW w:type="dxa" w:w="2800"/>
            <w:shd w:fill="FAFBFC" w:val="clear"/>
          </w:tcPr>
          <w:p>
            <w:pPr>
              <w:spacing w:before="0" w:after="0" w:line="264" w:lineRule="auto"/>
            </w:pPr>
            <w:r/>
            <w:r>
              <w:rPr>
                <w:rFonts w:ascii="Calibri" w:hAnsi="Calibri"/>
                <w:b w:val="0"/>
                <w:color w:val="13233A"/>
                <w:sz w:val="17"/>
              </w:rPr>
              <w:t>Organization policy may be signed and published by its own node.</w:t>
            </w:r>
          </w:p>
        </w:tc>
        <w:tc>
          <w:tcPr>
            <w:tcW w:type="dxa" w:w="2410"/>
            <w:shd w:fill="FAFBFC" w:val="clear"/>
          </w:tcPr>
          <w:p>
            <w:pPr>
              <w:spacing w:before="0" w:after="0" w:line="264" w:lineRule="auto"/>
            </w:pPr>
            <w:r/>
            <w:r>
              <w:rPr>
                <w:rFonts w:ascii="Calibri" w:hAnsi="Calibri"/>
                <w:b w:val="0"/>
                <w:color w:val="13233A"/>
                <w:sz w:val="17"/>
              </w:rPr>
              <w:t>Reference policy ID/version/hash on consequential city events.</w:t>
            </w:r>
          </w:p>
        </w:tc>
      </w:tr>
    </w:tbl>
    <w:p>
      <w:pPr>
        <w:spacing w:after="80"/>
      </w:pPr>
    </w:p>
    <w:p>
      <w:pPr>
        <w:pStyle w:val="Heading2"/>
      </w:pPr>
      <w:r>
        <w:rPr>
          <w:rFonts w:ascii="Calibri" w:hAnsi="Calibri"/>
          <w:b/>
          <w:color w:val="2E74B5"/>
          <w:sz w:val="26"/>
        </w:rPr>
        <w:t>A standard city-ledger event envelope</w:t>
      </w:r>
    </w:p>
    <w:p>
      <w:r>
        <w:rPr>
          <w:rFonts w:ascii="Calibri" w:hAnsi="Calibri"/>
          <w:color w:val="13233A"/>
          <w:sz w:val="21"/>
        </w:rPr>
        <w:t>A city ledger record should be small, versioned, and independently verifiable. A practical envelope contains:</w:t>
      </w:r>
    </w:p>
    <w:p>
      <w:pPr>
        <w:pStyle w:val="ListBullet"/>
        <w:spacing w:after="80" w:line="280" w:lineRule="auto"/>
      </w:pPr>
      <w:r>
        <w:rPr>
          <w:rFonts w:ascii="Calibri" w:hAnsi="Calibri"/>
          <w:color w:val="13233A"/>
          <w:sz w:val="21"/>
        </w:rPr>
        <w:t>Event ID and deterministic sequence number</w:t>
      </w:r>
    </w:p>
    <w:p>
      <w:pPr>
        <w:pStyle w:val="ListBullet"/>
        <w:spacing w:after="80" w:line="280" w:lineRule="auto"/>
      </w:pPr>
      <w:r>
        <w:rPr>
          <w:rFonts w:ascii="Calibri" w:hAnsi="Calibri"/>
          <w:color w:val="13233A"/>
          <w:sz w:val="21"/>
        </w:rPr>
        <w:t>Event type, such as contribution_verified, credit_issued, or redemption_completed</w:t>
      </w:r>
    </w:p>
    <w:p>
      <w:pPr>
        <w:pStyle w:val="ListBullet"/>
        <w:spacing w:after="80" w:line="280" w:lineRule="auto"/>
      </w:pPr>
      <w:r>
        <w:rPr>
          <w:rFonts w:ascii="Calibri" w:hAnsi="Calibri"/>
          <w:color w:val="13233A"/>
          <w:sz w:val="21"/>
        </w:rPr>
        <w:t>City ID and timestamp</w:t>
      </w:r>
    </w:p>
    <w:p>
      <w:pPr>
        <w:pStyle w:val="ListBullet"/>
        <w:spacing w:after="80" w:line="280" w:lineRule="auto"/>
      </w:pPr>
      <w:r>
        <w:rPr>
          <w:rFonts w:ascii="Calibri" w:hAnsi="Calibri"/>
          <w:color w:val="13233A"/>
          <w:sz w:val="21"/>
        </w:rPr>
        <w:t>Pseudonymous participant and organization references, not contact information</w:t>
      </w:r>
    </w:p>
    <w:p>
      <w:pPr>
        <w:pStyle w:val="ListBullet"/>
        <w:spacing w:after="80" w:line="280" w:lineRule="auto"/>
      </w:pPr>
      <w:r>
        <w:rPr>
          <w:rFonts w:ascii="Calibri" w:hAnsi="Calibri"/>
          <w:color w:val="13233A"/>
          <w:sz w:val="21"/>
        </w:rPr>
        <w:t>Policy ID, policy version, and policy-content hash</w:t>
      </w:r>
    </w:p>
    <w:p>
      <w:pPr>
        <w:pStyle w:val="ListBullet"/>
        <w:spacing w:after="80" w:line="280" w:lineRule="auto"/>
      </w:pPr>
      <w:r>
        <w:rPr>
          <w:rFonts w:ascii="Calibri" w:hAnsi="Calibri"/>
          <w:color w:val="13233A"/>
          <w:sz w:val="21"/>
        </w:rPr>
        <w:t>Source-system reference and evidence hash, where evidence exists</w:t>
      </w:r>
    </w:p>
    <w:p>
      <w:pPr>
        <w:pStyle w:val="ListBullet"/>
        <w:spacing w:after="80" w:line="280" w:lineRule="auto"/>
      </w:pPr>
      <w:r>
        <w:rPr>
          <w:rFonts w:ascii="Calibri" w:hAnsi="Calibri"/>
          <w:color w:val="13233A"/>
          <w:sz w:val="21"/>
        </w:rPr>
        <w:t>Previous-event hash and current-event hash for tamper-evident ordering</w:t>
      </w:r>
    </w:p>
    <w:tbl>
      <w:tblPr>
        <w:tblW w:type="dxa" w:w="9360"/>
        <w:jc w:val="left"/>
        <w:tblLayout w:type="fixed"/>
        <w:tblLook w:firstColumn="1" w:firstRow="1" w:lastColumn="0" w:lastRow="0" w:noHBand="0" w:noVBand="1" w:val="04A0"/>
        <w:tblInd w:w="120" w:type="dxa"/>
        <w:tblBorders>
          <w:top w:val="single" w:sz="7" w:space="0" w:color="C7D6EB"/>
          <w:left w:val="single" w:sz="7" w:space="0" w:color="C7D6EB"/>
          <w:bottom w:val="single" w:sz="7" w:space="0" w:color="C7D6EB"/>
          <w:right w:val="single" w:sz="7" w:space="0" w:color="C7D6EB"/>
          <w:insideH w:val="single" w:sz="7" w:space="0" w:color="C7D6EB"/>
          <w:insideV w:val="single" w:sz="7" w:space="0" w:color="C7D6EB"/>
        </w:tblBorders>
      </w:tblPr>
      <w:tblGrid>
        <w:gridCol w:w="740"/>
        <w:gridCol w:w="8620"/>
      </w:tblGrid>
      <w:tr>
        <w:tc>
          <w:tcPr>
            <w:tcW w:type="dxa" w:w="740"/>
            <w:tcMar>
              <w:top w:w="160" w:type="dxa"/>
              <w:start w:w="100" w:type="dxa"/>
              <w:bottom w:w="160" w:type="dxa"/>
              <w:end w:w="100" w:type="dxa"/>
            </w:tcMar>
            <w:vAlign w:val="center"/>
            <w:shd w:fill="A47720" w:val="clear"/>
          </w:tcPr>
          <w:p>
            <w:pPr>
              <w:spacing w:before="0" w:after="0" w:line="264" w:lineRule="auto"/>
              <w:jc w:val="center"/>
            </w:pPr>
            <w:r/>
            <w:r>
              <w:rPr>
                <w:rFonts w:ascii="Calibri" w:hAnsi="Calibri"/>
                <w:b/>
                <w:color w:val="FFFFFF"/>
                <w:sz w:val="17"/>
              </w:rPr>
              <w:t>TEST</w:t>
            </w:r>
          </w:p>
        </w:tc>
        <w:tc>
          <w:tcPr>
            <w:tcW w:type="dxa" w:w="8620"/>
            <w:tcMar>
              <w:top w:w="140" w:type="dxa"/>
              <w:start w:w="180" w:type="dxa"/>
              <w:bottom w:w="140" w:type="dxa"/>
              <w:end w:w="180" w:type="dxa"/>
            </w:tcMar>
            <w:vAlign w:val="center"/>
            <w:shd w:fill="FFF6E1" w:val="clear"/>
          </w:tcPr>
          <w:p>
            <w:pPr>
              <w:spacing w:after="60"/>
            </w:pPr>
            <w:r/>
            <w:r>
              <w:rPr>
                <w:rFonts w:ascii="Calibri" w:hAnsi="Calibri"/>
                <w:b/>
                <w:color w:val="13233A"/>
                <w:sz w:val="21"/>
              </w:rPr>
              <w:t>Would the city need this datum to verify civic accounting?</w:t>
            </w:r>
          </w:p>
          <w:p>
            <w:pPr>
              <w:spacing w:after="0" w:line="276" w:lineRule="auto"/>
            </w:pPr>
            <w:r>
              <w:rPr>
                <w:rFonts w:ascii="Calibri" w:hAnsi="Calibri"/>
                <w:color w:val="5C6673"/>
                <w:sz w:val="19"/>
              </w:rPr>
              <w:t>If the answer is no, the datum remains in the organization or core application layer. This simple test prevents the ledger from becoming an unnecessary privacy and compliance risk.</w:t>
            </w:r>
          </w:p>
        </w:tc>
      </w:tr>
    </w:tbl>
    <w:p>
      <w:pPr>
        <w:spacing w:after="80"/>
      </w:pPr>
    </w:p>
    <w:p>
      <w:r>
        <w:br w:type="page"/>
      </w:r>
    </w:p>
    <w:p>
      <w:pPr>
        <w:pStyle w:val="Heading1"/>
      </w:pPr>
      <w:r>
        <w:rPr>
          <w:rFonts w:ascii="Calibri" w:hAnsi="Calibri"/>
          <w:b/>
          <w:color w:val="2E74B5"/>
          <w:sz w:val="32"/>
        </w:rPr>
        <w:t>Phase 2 and Phase 3 - Portability before organization nodes</w:t>
      </w:r>
    </w:p>
    <w:p>
      <w:pPr>
        <w:spacing w:line="276" w:lineRule="auto"/>
      </w:pPr>
      <w:r>
        <w:rPr>
          <w:rFonts w:ascii="Calibri" w:hAnsi="Calibri"/>
          <w:color w:val="5C6673"/>
          <w:sz w:val="21"/>
        </w:rPr>
        <w:t>Physical separation should follow practical portability. Before City/Sync creates organization-operated databases at scale, it must prove that an organization can leave without losing records, breaking references, or corrupting city-level history.</w:t>
      </w:r>
    </w:p>
    <w:p>
      <w:pPr>
        <w:pStyle w:val="Heading2"/>
      </w:pPr>
      <w:r>
        <w:rPr>
          <w:rFonts w:ascii="Calibri" w:hAnsi="Calibri"/>
          <w:b/>
          <w:color w:val="2E74B5"/>
          <w:sz w:val="26"/>
        </w:rPr>
        <w:t>Portability capabilities to build first</w:t>
      </w:r>
    </w:p>
    <w:p>
      <w:pPr>
        <w:pStyle w:val="ListBullet"/>
        <w:spacing w:after="80" w:line="280" w:lineRule="auto"/>
      </w:pPr>
      <w:r>
        <w:rPr>
          <w:rFonts w:ascii="Calibri" w:hAnsi="Calibri"/>
          <w:color w:val="13233A"/>
          <w:sz w:val="21"/>
        </w:rPr>
        <w:t>Organization-scoped export package: organization settings, roles, templates, published shifts, roster records authorized for export, documents metadata, attendance, verification records, and audit history.</w:t>
      </w:r>
    </w:p>
    <w:p>
      <w:pPr>
        <w:pStyle w:val="ListBullet"/>
        <w:spacing w:after="80" w:line="280" w:lineRule="auto"/>
      </w:pPr>
      <w:r>
        <w:rPr>
          <w:rFonts w:ascii="Calibri" w:hAnsi="Calibri"/>
          <w:color w:val="13233A"/>
          <w:sz w:val="21"/>
        </w:rPr>
        <w:t>Attachment manifest: file identifiers, checksums, access status, and a secure transfer method rather than uncontrolled public links.</w:t>
      </w:r>
    </w:p>
    <w:p>
      <w:pPr>
        <w:pStyle w:val="ListBullet"/>
        <w:spacing w:after="80" w:line="280" w:lineRule="auto"/>
      </w:pPr>
      <w:r>
        <w:rPr>
          <w:rFonts w:ascii="Calibri" w:hAnsi="Calibri"/>
          <w:color w:val="13233A"/>
          <w:sz w:val="21"/>
        </w:rPr>
        <w:t>Restore tool: imports an export into an empty compatible database and validates row counts, checksums, IDs, and event references.</w:t>
      </w:r>
    </w:p>
    <w:p>
      <w:pPr>
        <w:pStyle w:val="ListBullet"/>
        <w:spacing w:after="80" w:line="280" w:lineRule="auto"/>
      </w:pPr>
      <w:r>
        <w:rPr>
          <w:rFonts w:ascii="Calibri" w:hAnsi="Calibri"/>
          <w:color w:val="13233A"/>
          <w:sz w:val="21"/>
        </w:rPr>
        <w:t>Reconciliation report: compares the organization source database, the shared core routing records, and the city-ledger event references without exposing private content.</w:t>
      </w:r>
    </w:p>
    <w:p>
      <w:pPr>
        <w:pStyle w:val="ListBullet"/>
        <w:spacing w:after="80" w:line="280" w:lineRule="auto"/>
      </w:pPr>
      <w:r>
        <w:rPr>
          <w:rFonts w:ascii="Calibri" w:hAnsi="Calibri"/>
          <w:color w:val="13233A"/>
          <w:sz w:val="21"/>
        </w:rPr>
        <w:t>Operator runbook: who holds credentials, backup keys, incident contacts, retention duties, and the process for handing operations back to City/Sync if needed.</w:t>
      </w:r>
    </w:p>
    <w:p>
      <w:pPr>
        <w:pStyle w:val="Heading2"/>
      </w:pPr>
      <w:r>
        <w:rPr>
          <w:rFonts w:ascii="Calibri" w:hAnsi="Calibri"/>
          <w:b/>
          <w:color w:val="2E74B5"/>
          <w:sz w:val="26"/>
        </w:rPr>
        <w:t>When an organization earns an independent database</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100"/>
        <w:gridCol w:w="4800"/>
        <w:gridCol w:w="2460"/>
      </w:tblGrid>
      <w:tr>
        <w:trPr>
          <w:tblHeader w:val="true"/>
        </w:trPr>
        <w:tc>
          <w:tcPr>
            <w:tcW w:type="dxa" w:w="21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TRIGGER</w:t>
            </w:r>
          </w:p>
        </w:tc>
        <w:tc>
          <w:tcPr>
            <w:tcW w:type="dxa" w:w="48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WHY IT JUSTIFIES A NODE</w:t>
            </w:r>
          </w:p>
        </w:tc>
        <w:tc>
          <w:tcPr>
            <w:tcW w:type="dxa" w:w="246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DECISION</w:t>
            </w:r>
          </w:p>
        </w:tc>
      </w:tr>
      <w:tr>
        <w:tc>
          <w:tcPr>
            <w:tcW w:type="dxa" w:w="2100"/>
            <w:shd w:fill="FFFFFF" w:val="clear"/>
          </w:tcPr>
          <w:p>
            <w:pPr>
              <w:spacing w:before="0" w:after="0" w:line="264" w:lineRule="auto"/>
            </w:pPr>
            <w:r/>
            <w:r>
              <w:rPr>
                <w:rFonts w:ascii="Calibri" w:hAnsi="Calibri"/>
                <w:b/>
                <w:color w:val="13233A"/>
                <w:sz w:val="17"/>
              </w:rPr>
              <w:t>Sensitive or regulated records</w:t>
            </w:r>
          </w:p>
        </w:tc>
        <w:tc>
          <w:tcPr>
            <w:tcW w:type="dxa" w:w="4800"/>
            <w:shd w:fill="FFFFFF" w:val="clear"/>
          </w:tcPr>
          <w:p>
            <w:pPr>
              <w:spacing w:before="0" w:after="0" w:line="264" w:lineRule="auto"/>
            </w:pPr>
            <w:r/>
            <w:r>
              <w:rPr>
                <w:rFonts w:ascii="Calibri" w:hAnsi="Calibri"/>
                <w:b w:val="0"/>
                <w:color w:val="13233A"/>
                <w:sz w:val="17"/>
              </w:rPr>
              <w:t>The organization has a defensible requirement to control private records, retention, or access independently.</w:t>
            </w:r>
          </w:p>
        </w:tc>
        <w:tc>
          <w:tcPr>
            <w:tcW w:type="dxa" w:w="2460"/>
            <w:shd w:fill="FFFFFF" w:val="clear"/>
          </w:tcPr>
          <w:p>
            <w:pPr>
              <w:spacing w:before="0" w:after="0" w:line="264" w:lineRule="auto"/>
            </w:pPr>
            <w:r/>
            <w:r>
              <w:rPr>
                <w:rFonts w:ascii="Calibri" w:hAnsi="Calibri"/>
                <w:b w:val="0"/>
                <w:color w:val="13233A"/>
                <w:sz w:val="17"/>
              </w:rPr>
              <w:t>Offer organization-operated storage or a managed dedicated node.</w:t>
            </w:r>
          </w:p>
        </w:tc>
      </w:tr>
      <w:tr>
        <w:tc>
          <w:tcPr>
            <w:tcW w:type="dxa" w:w="2100"/>
            <w:shd w:fill="FAFBFC" w:val="clear"/>
          </w:tcPr>
          <w:p>
            <w:pPr>
              <w:spacing w:before="0" w:after="0" w:line="264" w:lineRule="auto"/>
            </w:pPr>
            <w:r/>
            <w:r>
              <w:rPr>
                <w:rFonts w:ascii="Calibri" w:hAnsi="Calibri"/>
                <w:b/>
                <w:color w:val="13233A"/>
                <w:sz w:val="17"/>
              </w:rPr>
              <w:t>Government or institutional integration</w:t>
            </w:r>
          </w:p>
        </w:tc>
        <w:tc>
          <w:tcPr>
            <w:tcW w:type="dxa" w:w="4800"/>
            <w:shd w:fill="FAFBFC" w:val="clear"/>
          </w:tcPr>
          <w:p>
            <w:pPr>
              <w:spacing w:before="0" w:after="0" w:line="264" w:lineRule="auto"/>
            </w:pPr>
            <w:r/>
            <w:r>
              <w:rPr>
                <w:rFonts w:ascii="Calibri" w:hAnsi="Calibri"/>
                <w:b w:val="0"/>
                <w:color w:val="13233A"/>
                <w:sz w:val="17"/>
              </w:rPr>
              <w:t>An agency needs direct, auditable integration with its existing system of record.</w:t>
            </w:r>
          </w:p>
        </w:tc>
        <w:tc>
          <w:tcPr>
            <w:tcW w:type="dxa" w:w="2460"/>
            <w:shd w:fill="FAFBFC" w:val="clear"/>
          </w:tcPr>
          <w:p>
            <w:pPr>
              <w:spacing w:before="0" w:after="0" w:line="264" w:lineRule="auto"/>
            </w:pPr>
            <w:r/>
            <w:r>
              <w:rPr>
                <w:rFonts w:ascii="Calibri" w:hAnsi="Calibri"/>
                <w:b w:val="0"/>
                <w:color w:val="13233A"/>
                <w:sz w:val="17"/>
              </w:rPr>
              <w:t>Use a connector and signed event contract; consider a dedicated database only if it is the system of record.</w:t>
            </w:r>
          </w:p>
        </w:tc>
      </w:tr>
      <w:tr>
        <w:tc>
          <w:tcPr>
            <w:tcW w:type="dxa" w:w="2100"/>
            <w:shd w:fill="FFFFFF" w:val="clear"/>
          </w:tcPr>
          <w:p>
            <w:pPr>
              <w:spacing w:before="0" w:after="0" w:line="264" w:lineRule="auto"/>
            </w:pPr>
            <w:r/>
            <w:r>
              <w:rPr>
                <w:rFonts w:ascii="Calibri" w:hAnsi="Calibri"/>
                <w:b/>
                <w:color w:val="13233A"/>
                <w:sz w:val="17"/>
              </w:rPr>
              <w:t>Scale or custom workflows</w:t>
            </w:r>
          </w:p>
        </w:tc>
        <w:tc>
          <w:tcPr>
            <w:tcW w:type="dxa" w:w="4800"/>
            <w:shd w:fill="FFFFFF" w:val="clear"/>
          </w:tcPr>
          <w:p>
            <w:pPr>
              <w:spacing w:before="0" w:after="0" w:line="264" w:lineRule="auto"/>
            </w:pPr>
            <w:r/>
            <w:r>
              <w:rPr>
                <w:rFonts w:ascii="Calibri" w:hAnsi="Calibri"/>
                <w:b w:val="0"/>
                <w:color w:val="13233A"/>
                <w:sz w:val="17"/>
              </w:rPr>
              <w:t>The organization needs its own operational performance, schema extensions, or retention behavior.</w:t>
            </w:r>
          </w:p>
        </w:tc>
        <w:tc>
          <w:tcPr>
            <w:tcW w:type="dxa" w:w="2460"/>
            <w:shd w:fill="FFFFFF" w:val="clear"/>
          </w:tcPr>
          <w:p>
            <w:pPr>
              <w:spacing w:before="0" w:after="0" w:line="264" w:lineRule="auto"/>
            </w:pPr>
            <w:r/>
            <w:r>
              <w:rPr>
                <w:rFonts w:ascii="Calibri" w:hAnsi="Calibri"/>
                <w:b w:val="0"/>
                <w:color w:val="13233A"/>
                <w:sz w:val="17"/>
              </w:rPr>
              <w:t>Move it after export/restore and operations checks are demonstrated.</w:t>
            </w:r>
          </w:p>
        </w:tc>
      </w:tr>
      <w:tr>
        <w:tc>
          <w:tcPr>
            <w:tcW w:type="dxa" w:w="2100"/>
            <w:shd w:fill="FAFBFC" w:val="clear"/>
          </w:tcPr>
          <w:p>
            <w:pPr>
              <w:spacing w:before="0" w:after="0" w:line="264" w:lineRule="auto"/>
            </w:pPr>
            <w:r/>
            <w:r>
              <w:rPr>
                <w:rFonts w:ascii="Calibri" w:hAnsi="Calibri"/>
                <w:b/>
                <w:color w:val="13233A"/>
                <w:sz w:val="17"/>
              </w:rPr>
              <w:t>Operator readiness</w:t>
            </w:r>
          </w:p>
        </w:tc>
        <w:tc>
          <w:tcPr>
            <w:tcW w:type="dxa" w:w="4800"/>
            <w:shd w:fill="FAFBFC" w:val="clear"/>
          </w:tcPr>
          <w:p>
            <w:pPr>
              <w:spacing w:before="0" w:after="0" w:line="264" w:lineRule="auto"/>
            </w:pPr>
            <w:r/>
            <w:r>
              <w:rPr>
                <w:rFonts w:ascii="Calibri" w:hAnsi="Calibri"/>
                <w:b w:val="0"/>
                <w:color w:val="13233A"/>
                <w:sz w:val="17"/>
              </w:rPr>
              <w:t>The organization can own keys, monitoring, backups, support contacts, and incident response.</w:t>
            </w:r>
          </w:p>
        </w:tc>
        <w:tc>
          <w:tcPr>
            <w:tcW w:type="dxa" w:w="2460"/>
            <w:shd w:fill="FAFBFC" w:val="clear"/>
          </w:tcPr>
          <w:p>
            <w:pPr>
              <w:spacing w:before="0" w:after="0" w:line="264" w:lineRule="auto"/>
            </w:pPr>
            <w:r/>
            <w:r>
              <w:rPr>
                <w:rFonts w:ascii="Calibri" w:hAnsi="Calibri"/>
                <w:b w:val="0"/>
                <w:color w:val="13233A"/>
                <w:sz w:val="17"/>
              </w:rPr>
              <w:t>Approve a handoff plan and assign a node operator.</w:t>
            </w:r>
          </w:p>
        </w:tc>
      </w:tr>
      <w:tr>
        <w:tc>
          <w:tcPr>
            <w:tcW w:type="dxa" w:w="2100"/>
            <w:shd w:fill="FFFFFF" w:val="clear"/>
          </w:tcPr>
          <w:p>
            <w:pPr>
              <w:spacing w:before="0" w:after="0" w:line="264" w:lineRule="auto"/>
            </w:pPr>
            <w:r/>
            <w:r>
              <w:rPr>
                <w:rFonts w:ascii="Calibri" w:hAnsi="Calibri"/>
                <w:b/>
                <w:color w:val="13233A"/>
                <w:sz w:val="17"/>
              </w:rPr>
              <w:t>No clear need</w:t>
            </w:r>
          </w:p>
        </w:tc>
        <w:tc>
          <w:tcPr>
            <w:tcW w:type="dxa" w:w="4800"/>
            <w:shd w:fill="FFFFFF" w:val="clear"/>
          </w:tcPr>
          <w:p>
            <w:pPr>
              <w:spacing w:before="0" w:after="0" w:line="264" w:lineRule="auto"/>
            </w:pPr>
            <w:r/>
            <w:r>
              <w:rPr>
                <w:rFonts w:ascii="Calibri" w:hAnsi="Calibri"/>
                <w:b w:val="0"/>
                <w:color w:val="13233A"/>
                <w:sz w:val="17"/>
              </w:rPr>
              <w:t>A separate database would only create overhead.</w:t>
            </w:r>
          </w:p>
        </w:tc>
        <w:tc>
          <w:tcPr>
            <w:tcW w:type="dxa" w:w="2460"/>
            <w:shd w:fill="FFFFFF" w:val="clear"/>
          </w:tcPr>
          <w:p>
            <w:pPr>
              <w:spacing w:before="0" w:after="0" w:line="264" w:lineRule="auto"/>
            </w:pPr>
            <w:r/>
            <w:r>
              <w:rPr>
                <w:rFonts w:ascii="Calibri" w:hAnsi="Calibri"/>
                <w:b w:val="0"/>
                <w:color w:val="13233A"/>
                <w:sz w:val="17"/>
              </w:rPr>
              <w:t>Keep using the shared core with strong tenant boundaries and export rights.</w:t>
            </w:r>
          </w:p>
        </w:tc>
      </w:tr>
    </w:tbl>
    <w:p>
      <w:pPr>
        <w:spacing w:after="80"/>
      </w:pPr>
    </w:p>
    <w:p>
      <w:r>
        <w:br w:type="page"/>
      </w:r>
    </w:p>
    <w:p>
      <w:pPr>
        <w:pStyle w:val="Heading2"/>
      </w:pPr>
      <w:r>
        <w:rPr>
          <w:rFonts w:ascii="Calibri" w:hAnsi="Calibri"/>
          <w:b/>
          <w:color w:val="2E74B5"/>
          <w:sz w:val="26"/>
        </w:rPr>
        <w:t>Handoff playbook: City/Sync-hosted to organization-operated</w:t>
      </w:r>
    </w:p>
    <w:p>
      <w:pPr>
        <w:spacing w:after="100" w:line="269" w:lineRule="auto"/>
        <w:ind w:left="461" w:hanging="360"/>
      </w:pPr>
      <w:r>
        <w:rPr>
          <w:rFonts w:ascii="Calibri" w:hAnsi="Calibri"/>
          <w:b/>
          <w:color w:val="1F4D78"/>
          <w:sz w:val="20"/>
        </w:rPr>
        <w:t xml:space="preserve">1.  </w:t>
      </w:r>
      <w:r>
        <w:rPr>
          <w:rFonts w:ascii="Calibri" w:hAnsi="Calibri"/>
          <w:color w:val="13233A"/>
          <w:sz w:val="20"/>
        </w:rPr>
        <w:t>Approve the scope. Identify which record classes move, which records remain shared routing metadata, and which city-ledger events are immutable references rather than copied data.</w:t>
      </w:r>
    </w:p>
    <w:p>
      <w:pPr>
        <w:spacing w:after="100" w:line="269" w:lineRule="auto"/>
        <w:ind w:left="461" w:hanging="360"/>
      </w:pPr>
      <w:r>
        <w:rPr>
          <w:rFonts w:ascii="Calibri" w:hAnsi="Calibri"/>
          <w:b/>
          <w:color w:val="1F4D78"/>
          <w:sz w:val="20"/>
        </w:rPr>
        <w:t xml:space="preserve">2.  </w:t>
      </w:r>
      <w:r>
        <w:rPr>
          <w:rFonts w:ascii="Calibri" w:hAnsi="Calibri"/>
          <w:color w:val="13233A"/>
          <w:sz w:val="20"/>
        </w:rPr>
        <w:t>Provision the destination. Create the organization database, operator credentials, backup destination, and monitoring contacts. Install the compatible schema version.</w:t>
      </w:r>
    </w:p>
    <w:p>
      <w:pPr>
        <w:spacing w:after="100" w:line="269" w:lineRule="auto"/>
        <w:ind w:left="461" w:hanging="360"/>
      </w:pPr>
      <w:r>
        <w:rPr>
          <w:rFonts w:ascii="Calibri" w:hAnsi="Calibri"/>
          <w:b/>
          <w:color w:val="1F4D78"/>
          <w:sz w:val="20"/>
        </w:rPr>
        <w:t xml:space="preserve">3.  </w:t>
      </w:r>
      <w:r>
        <w:rPr>
          <w:rFonts w:ascii="Calibri" w:hAnsi="Calibri"/>
          <w:color w:val="13233A"/>
          <w:sz w:val="20"/>
        </w:rPr>
        <w:t>Create a signed baseline export. Export source records and attachment manifest, then compute counts and checksums.</w:t>
      </w:r>
    </w:p>
    <w:p>
      <w:pPr>
        <w:spacing w:after="100" w:line="269" w:lineRule="auto"/>
        <w:ind w:left="461" w:hanging="360"/>
      </w:pPr>
      <w:r>
        <w:rPr>
          <w:rFonts w:ascii="Calibri" w:hAnsi="Calibri"/>
          <w:b/>
          <w:color w:val="1F4D78"/>
          <w:sz w:val="20"/>
        </w:rPr>
        <w:t xml:space="preserve">4.  </w:t>
      </w:r>
      <w:r>
        <w:rPr>
          <w:rFonts w:ascii="Calibri" w:hAnsi="Calibri"/>
          <w:color w:val="13233A"/>
          <w:sz w:val="20"/>
        </w:rPr>
        <w:t>Run a parallel sync window. New organization actions are delivered through a durable outbox to the destination and reconciled until lag is zero.</w:t>
      </w:r>
    </w:p>
    <w:p>
      <w:pPr>
        <w:spacing w:after="100" w:line="269" w:lineRule="auto"/>
        <w:ind w:left="461" w:hanging="360"/>
      </w:pPr>
      <w:r>
        <w:rPr>
          <w:rFonts w:ascii="Calibri" w:hAnsi="Calibri"/>
          <w:b/>
          <w:color w:val="1F4D78"/>
          <w:sz w:val="20"/>
        </w:rPr>
        <w:t xml:space="preserve">5.  </w:t>
      </w:r>
      <w:r>
        <w:rPr>
          <w:rFonts w:ascii="Calibri" w:hAnsi="Calibri"/>
          <w:color w:val="13233A"/>
          <w:sz w:val="20"/>
        </w:rPr>
        <w:t>Verify and cut over. Validate data totals, attachments, access controls, and city-ledger references. Change the routing registry only after the organization confirms acceptance.</w:t>
      </w:r>
    </w:p>
    <w:p>
      <w:pPr>
        <w:spacing w:after="100" w:line="269" w:lineRule="auto"/>
        <w:ind w:left="461" w:hanging="360"/>
      </w:pPr>
      <w:r>
        <w:rPr>
          <w:rFonts w:ascii="Calibri" w:hAnsi="Calibri"/>
          <w:b/>
          <w:color w:val="1F4D78"/>
          <w:sz w:val="20"/>
        </w:rPr>
        <w:t xml:space="preserve">6.  </w:t>
      </w:r>
      <w:r>
        <w:rPr>
          <w:rFonts w:ascii="Calibri" w:hAnsi="Calibri"/>
          <w:color w:val="13233A"/>
          <w:sz w:val="20"/>
        </w:rPr>
        <w:t>Retain a time-bounded read-only copy. Preserve only what is needed for rollback, audit, or legally required retention; then delete or anonymize under the agreement.</w:t>
      </w:r>
    </w:p>
    <w:p>
      <w:r>
        <w:br w:type="page"/>
      </w:r>
    </w:p>
    <w:p>
      <w:pPr>
        <w:pStyle w:val="Heading1"/>
      </w:pPr>
      <w:r>
        <w:rPr>
          <w:rFonts w:ascii="Calibri" w:hAnsi="Calibri"/>
          <w:b/>
          <w:color w:val="2E74B5"/>
          <w:sz w:val="32"/>
        </w:rPr>
        <w:t>Phase 4 and Phase 5 - City operation and protocol maturity</w:t>
      </w:r>
    </w:p>
    <w:p>
      <w:pPr>
        <w:spacing w:line="276" w:lineRule="auto"/>
      </w:pPr>
      <w:r>
        <w:rPr>
          <w:rFonts w:ascii="Calibri" w:hAnsi="Calibri"/>
          <w:color w:val="5C6673"/>
          <w:sz w:val="21"/>
        </w:rPr>
        <w:t>At maturity, a city should be able to operate its own local infrastructure through a City/Sync chapter, a civic institution, or a qualified local operator. City/Sync should provide software, interoperability standards, and a network registry, rather than becoming the permanent operator of every city's local records.</w:t>
      </w:r>
    </w:p>
    <w:p>
      <w:pPr>
        <w:pStyle w:val="Heading2"/>
      </w:pPr>
      <w:r>
        <w:rPr>
          <w:rFonts w:ascii="Calibri" w:hAnsi="Calibri"/>
          <w:b/>
          <w:color w:val="2E74B5"/>
          <w:sz w:val="26"/>
        </w:rPr>
        <w:t>What a city operator is responsible for</w:t>
      </w:r>
    </w:p>
    <w:p>
      <w:pPr>
        <w:pStyle w:val="ListBullet"/>
        <w:spacing w:after="80" w:line="280" w:lineRule="auto"/>
      </w:pPr>
      <w:r>
        <w:rPr>
          <w:rFonts w:ascii="Calibri" w:hAnsi="Calibri"/>
          <w:color w:val="13233A"/>
          <w:sz w:val="21"/>
        </w:rPr>
        <w:t>Operate or supervise the city ledger database, backups, credentials, and availability.</w:t>
      </w:r>
    </w:p>
    <w:p>
      <w:pPr>
        <w:pStyle w:val="ListBullet"/>
        <w:spacing w:after="80" w:line="280" w:lineRule="auto"/>
      </w:pPr>
      <w:r>
        <w:rPr>
          <w:rFonts w:ascii="Calibri" w:hAnsi="Calibri"/>
          <w:color w:val="13233A"/>
          <w:sz w:val="21"/>
        </w:rPr>
        <w:t>Publish the city policy registry: participation rules, credit rules, retention, dispute process, and who may authorize changes.</w:t>
      </w:r>
    </w:p>
    <w:p>
      <w:pPr>
        <w:pStyle w:val="ListBullet"/>
        <w:spacing w:after="80" w:line="280" w:lineRule="auto"/>
      </w:pPr>
      <w:r>
        <w:rPr>
          <w:rFonts w:ascii="Calibri" w:hAnsi="Calibri"/>
          <w:color w:val="13233A"/>
          <w:sz w:val="21"/>
        </w:rPr>
        <w:t>Maintain the local operator directory and the process for onboarding qualified organizations.</w:t>
      </w:r>
    </w:p>
    <w:p>
      <w:pPr>
        <w:pStyle w:val="ListBullet"/>
        <w:spacing w:after="80" w:line="280" w:lineRule="auto"/>
      </w:pPr>
      <w:r>
        <w:rPr>
          <w:rFonts w:ascii="Calibri" w:hAnsi="Calibri"/>
          <w:color w:val="13233A"/>
          <w:sz w:val="21"/>
        </w:rPr>
        <w:t>Review ledger health and anchor continuity without seeing private organization source records.</w:t>
      </w:r>
    </w:p>
    <w:p>
      <w:pPr>
        <w:pStyle w:val="ListBullet"/>
        <w:spacing w:after="80" w:line="280" w:lineRule="auto"/>
      </w:pPr>
      <w:r>
        <w:rPr>
          <w:rFonts w:ascii="Calibri" w:hAnsi="Calibri"/>
          <w:color w:val="13233A"/>
          <w:sz w:val="21"/>
        </w:rPr>
        <w:t>Provide an operator-handoff process so the city infrastructure does not depend on one individual or vendor forever.</w:t>
      </w:r>
    </w:p>
    <w:p>
      <w:pPr>
        <w:pStyle w:val="Heading2"/>
      </w:pPr>
      <w:r>
        <w:rPr>
          <w:rFonts w:ascii="Calibri" w:hAnsi="Calibri"/>
          <w:b/>
          <w:color w:val="2E74B5"/>
          <w:sz w:val="26"/>
        </w:rPr>
        <w:t>Public-chain settlement: a later verification layer, not a database replacement</w:t>
      </w:r>
    </w:p>
    <w:p>
      <w:r>
        <w:rPr>
          <w:rFonts w:ascii="Calibri" w:hAnsi="Calibri"/>
          <w:color w:val="13233A"/>
          <w:sz w:val="21"/>
        </w:rPr>
        <w:t>A public chain can anchor a cryptographic commitment to a period of city-ledger history. It can demonstrate that a defined set of city events existed in a particular order by a particular time. It should not receive source documents, participant records, chats, waiver contents, or an organization's internal roster.</w:t>
      </w:r>
    </w:p>
    <w:p>
      <w:pPr>
        <w:pStyle w:val="ListBullet"/>
        <w:spacing w:after="80" w:line="280" w:lineRule="auto"/>
      </w:pPr>
      <w:r>
        <w:rPr>
          <w:rFonts w:ascii="Calibri" w:hAnsi="Calibri"/>
          <w:color w:val="13233A"/>
          <w:sz w:val="21"/>
        </w:rPr>
        <w:t>Early stages: store event hashes and Merkle roots in the city ledger; keep raw evidence private.</w:t>
      </w:r>
    </w:p>
    <w:p>
      <w:pPr>
        <w:pStyle w:val="ListBullet"/>
        <w:spacing w:after="80" w:line="280" w:lineRule="auto"/>
      </w:pPr>
      <w:r>
        <w:rPr>
          <w:rFonts w:ascii="Calibri" w:hAnsi="Calibri"/>
          <w:color w:val="13233A"/>
          <w:sz w:val="21"/>
        </w:rPr>
        <w:t>Later stages: periodically anchor a Merkle root or signed batch commitment to a public chain.</w:t>
      </w:r>
    </w:p>
    <w:p>
      <w:pPr>
        <w:pStyle w:val="ListBullet"/>
        <w:spacing w:after="80" w:line="280" w:lineRule="auto"/>
      </w:pPr>
      <w:r>
        <w:rPr>
          <w:rFonts w:ascii="Calibri" w:hAnsi="Calibri"/>
          <w:color w:val="13233A"/>
          <w:sz w:val="21"/>
        </w:rPr>
        <w:t>Protocol stage: define how an independent observer replays approved event envelopes and verifies an anchor without needing private data.</w:t>
      </w:r>
    </w:p>
    <w:p>
      <w:pPr>
        <w:pStyle w:val="ListBullet"/>
        <w:spacing w:after="80" w:line="280" w:lineRule="auto"/>
      </w:pPr>
      <w:r>
        <w:rPr>
          <w:rFonts w:ascii="Calibri" w:hAnsi="Calibri"/>
          <w:color w:val="13233A"/>
          <w:sz w:val="21"/>
        </w:rPr>
        <w:t>Do not make an L3 or local chain a prerequisite for useful volunteer coordination. It is a possible settlement and governance layer after real activity, policies, and operators exist.</w:t>
      </w:r>
    </w:p>
    <w:tbl>
      <w:tblPr>
        <w:tblW w:type="dxa" w:w="9360"/>
        <w:jc w:val="left"/>
        <w:tblLayout w:type="fixed"/>
        <w:tblLook w:firstColumn="1" w:firstRow="1" w:lastColumn="0" w:lastRow="0" w:noHBand="0" w:noVBand="1" w:val="04A0"/>
        <w:tblInd w:w="120" w:type="dxa"/>
        <w:tblBorders>
          <w:top w:val="single" w:sz="7" w:space="0" w:color="C7D6EB"/>
          <w:left w:val="single" w:sz="7" w:space="0" w:color="C7D6EB"/>
          <w:bottom w:val="single" w:sz="7" w:space="0" w:color="C7D6EB"/>
          <w:right w:val="single" w:sz="7" w:space="0" w:color="C7D6EB"/>
          <w:insideH w:val="single" w:sz="7" w:space="0" w:color="C7D6EB"/>
          <w:insideV w:val="single" w:sz="7" w:space="0" w:color="C7D6EB"/>
        </w:tblBorders>
      </w:tblPr>
      <w:tblGrid>
        <w:gridCol w:w="740"/>
        <w:gridCol w:w="8620"/>
      </w:tblGrid>
      <w:tr>
        <w:tc>
          <w:tcPr>
            <w:tcW w:type="dxa" w:w="740"/>
            <w:tcMar>
              <w:top w:w="160" w:type="dxa"/>
              <w:start w:w="100" w:type="dxa"/>
              <w:bottom w:w="160" w:type="dxa"/>
              <w:end w:w="100" w:type="dxa"/>
            </w:tcMar>
            <w:vAlign w:val="center"/>
            <w:shd w:fill="316C5B" w:val="clear"/>
          </w:tcPr>
          <w:p>
            <w:pPr>
              <w:spacing w:before="0" w:after="0" w:line="264" w:lineRule="auto"/>
              <w:jc w:val="center"/>
            </w:pPr>
            <w:r/>
            <w:r>
              <w:rPr>
                <w:rFonts w:ascii="Calibri" w:hAnsi="Calibri"/>
                <w:b/>
                <w:color w:val="FFFFFF"/>
                <w:sz w:val="17"/>
              </w:rPr>
              <w:t>SEQUENCING</w:t>
            </w:r>
          </w:p>
        </w:tc>
        <w:tc>
          <w:tcPr>
            <w:tcW w:type="dxa" w:w="8620"/>
            <w:tcMar>
              <w:top w:w="140" w:type="dxa"/>
              <w:start w:w="180" w:type="dxa"/>
              <w:bottom w:w="140" w:type="dxa"/>
              <w:end w:w="180" w:type="dxa"/>
            </w:tcMar>
            <w:vAlign w:val="center"/>
            <w:shd w:fill="EAF4F1" w:val="clear"/>
          </w:tcPr>
          <w:p>
            <w:pPr>
              <w:spacing w:after="60"/>
            </w:pPr>
            <w:r/>
            <w:r>
              <w:rPr>
                <w:rFonts w:ascii="Calibri" w:hAnsi="Calibri"/>
                <w:b/>
                <w:color w:val="13233A"/>
                <w:sz w:val="21"/>
              </w:rPr>
              <w:t>The protocol is the rules and proofs, not the chain alone.</w:t>
            </w:r>
          </w:p>
          <w:p>
            <w:pPr>
              <w:spacing w:after="0" w:line="276" w:lineRule="auto"/>
            </w:pPr>
            <w:r>
              <w:rPr>
                <w:rFonts w:ascii="Calibri" w:hAnsi="Calibri"/>
                <w:color w:val="5C6673"/>
                <w:sz w:val="19"/>
              </w:rPr>
              <w:t>City/Sync earns protocol credibility by making policy versions, exports, event contracts, and operator handoffs work in practice before it adds more complex decentralized infrastructure.</w:t>
            </w:r>
          </w:p>
        </w:tc>
      </w:tr>
    </w:tbl>
    <w:p>
      <w:pPr>
        <w:spacing w:after="80"/>
      </w:pPr>
    </w:p>
    <w:p>
      <w:r>
        <w:br w:type="page"/>
      </w:r>
    </w:p>
    <w:p>
      <w:pPr>
        <w:pStyle w:val="Heading2"/>
      </w:pPr>
      <w:r>
        <w:rPr>
          <w:rFonts w:ascii="Calibri" w:hAnsi="Calibri"/>
          <w:b/>
          <w:color w:val="2E74B5"/>
          <w:sz w:val="26"/>
        </w:rPr>
        <w:t>Policy as code: the bridge to accountable administration</w:t>
      </w:r>
    </w:p>
    <w:p>
      <w:r>
        <w:rPr>
          <w:rFonts w:ascii="Calibri" w:hAnsi="Calibri"/>
          <w:color w:val="13233A"/>
          <w:sz w:val="21"/>
        </w:rPr>
        <w:t>For each consequential action, the system should be able to answer: who acted, what did they do, when did it occur, under which role, and under which policy version? Policies do not need to be opaque software. They should be published rules with machine-readable conditions and plain-language explanations.</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2100"/>
        <w:gridCol w:w="4300"/>
        <w:gridCol w:w="2960"/>
      </w:tblGrid>
      <w:tr>
        <w:trPr>
          <w:tblHeader w:val="true"/>
        </w:trPr>
        <w:tc>
          <w:tcPr>
            <w:tcW w:type="dxa" w:w="21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POLICY COMPONENT</w:t>
            </w:r>
          </w:p>
        </w:tc>
        <w:tc>
          <w:tcPr>
            <w:tcW w:type="dxa" w:w="43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EXAMPLE</w:t>
            </w:r>
          </w:p>
        </w:tc>
        <w:tc>
          <w:tcPr>
            <w:tcW w:type="dxa" w:w="296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RECORDED WITH ACTION</w:t>
            </w:r>
          </w:p>
        </w:tc>
      </w:tr>
      <w:tr>
        <w:tc>
          <w:tcPr>
            <w:tcW w:type="dxa" w:w="2100"/>
            <w:shd w:fill="FFFFFF" w:val="clear"/>
          </w:tcPr>
          <w:p>
            <w:pPr>
              <w:spacing w:before="0" w:after="0" w:line="264" w:lineRule="auto"/>
            </w:pPr>
            <w:r/>
            <w:r>
              <w:rPr>
                <w:rFonts w:ascii="Calibri" w:hAnsi="Calibri"/>
                <w:b/>
                <w:color w:val="13233A"/>
                <w:sz w:val="17"/>
              </w:rPr>
              <w:t>Policy ID and version</w:t>
            </w:r>
          </w:p>
        </w:tc>
        <w:tc>
          <w:tcPr>
            <w:tcW w:type="dxa" w:w="4300"/>
            <w:shd w:fill="FFFFFF" w:val="clear"/>
          </w:tcPr>
          <w:p>
            <w:pPr>
              <w:spacing w:before="0" w:after="0" w:line="264" w:lineRule="auto"/>
            </w:pPr>
            <w:r/>
            <w:r>
              <w:rPr>
                <w:rFonts w:ascii="Calibri" w:hAnsi="Calibri"/>
                <w:b w:val="0"/>
                <w:color w:val="13233A"/>
                <w:sz w:val="17"/>
              </w:rPr>
              <w:t>Berkeley-Volunteer-Credit-Policy v1.2</w:t>
            </w:r>
          </w:p>
        </w:tc>
        <w:tc>
          <w:tcPr>
            <w:tcW w:type="dxa" w:w="2960"/>
            <w:shd w:fill="FFFFFF" w:val="clear"/>
          </w:tcPr>
          <w:p>
            <w:pPr>
              <w:spacing w:before="0" w:after="0" w:line="264" w:lineRule="auto"/>
            </w:pPr>
            <w:r/>
            <w:r>
              <w:rPr>
                <w:rFonts w:ascii="Calibri" w:hAnsi="Calibri"/>
                <w:b w:val="0"/>
                <w:color w:val="13233A"/>
                <w:sz w:val="17"/>
              </w:rPr>
              <w:t>Policy ID, version, and content hash</w:t>
            </w:r>
          </w:p>
        </w:tc>
      </w:tr>
      <w:tr>
        <w:tc>
          <w:tcPr>
            <w:tcW w:type="dxa" w:w="2100"/>
            <w:shd w:fill="FAFBFC" w:val="clear"/>
          </w:tcPr>
          <w:p>
            <w:pPr>
              <w:spacing w:before="0" w:after="0" w:line="264" w:lineRule="auto"/>
            </w:pPr>
            <w:r/>
            <w:r>
              <w:rPr>
                <w:rFonts w:ascii="Calibri" w:hAnsi="Calibri"/>
                <w:b/>
                <w:color w:val="13233A"/>
                <w:sz w:val="17"/>
              </w:rPr>
              <w:t>Authority rule</w:t>
            </w:r>
          </w:p>
        </w:tc>
        <w:tc>
          <w:tcPr>
            <w:tcW w:type="dxa" w:w="4300"/>
            <w:shd w:fill="FAFBFC" w:val="clear"/>
          </w:tcPr>
          <w:p>
            <w:pPr>
              <w:spacing w:before="0" w:after="0" w:line="264" w:lineRule="auto"/>
            </w:pPr>
            <w:r/>
            <w:r>
              <w:rPr>
                <w:rFonts w:ascii="Calibri" w:hAnsi="Calibri"/>
                <w:b w:val="0"/>
                <w:color w:val="13233A"/>
                <w:sz w:val="17"/>
              </w:rPr>
              <w:t>Only an approved verifier can verify attendance.</w:t>
            </w:r>
          </w:p>
        </w:tc>
        <w:tc>
          <w:tcPr>
            <w:tcW w:type="dxa" w:w="2960"/>
            <w:shd w:fill="FAFBFC" w:val="clear"/>
          </w:tcPr>
          <w:p>
            <w:pPr>
              <w:spacing w:before="0" w:after="0" w:line="264" w:lineRule="auto"/>
            </w:pPr>
            <w:r/>
            <w:r>
              <w:rPr>
                <w:rFonts w:ascii="Calibri" w:hAnsi="Calibri"/>
                <w:b w:val="0"/>
                <w:color w:val="13233A"/>
                <w:sz w:val="17"/>
              </w:rPr>
              <w:t>Actor identity reference and role/authority reference</w:t>
            </w:r>
          </w:p>
        </w:tc>
      </w:tr>
      <w:tr>
        <w:tc>
          <w:tcPr>
            <w:tcW w:type="dxa" w:w="2100"/>
            <w:shd w:fill="FFFFFF" w:val="clear"/>
          </w:tcPr>
          <w:p>
            <w:pPr>
              <w:spacing w:before="0" w:after="0" w:line="264" w:lineRule="auto"/>
            </w:pPr>
            <w:r/>
            <w:r>
              <w:rPr>
                <w:rFonts w:ascii="Calibri" w:hAnsi="Calibri"/>
                <w:b/>
                <w:color w:val="13233A"/>
                <w:sz w:val="17"/>
              </w:rPr>
              <w:t>Eligibility rule</w:t>
            </w:r>
          </w:p>
        </w:tc>
        <w:tc>
          <w:tcPr>
            <w:tcW w:type="dxa" w:w="4300"/>
            <w:shd w:fill="FFFFFF" w:val="clear"/>
          </w:tcPr>
          <w:p>
            <w:pPr>
              <w:spacing w:before="0" w:after="0" w:line="264" w:lineRule="auto"/>
            </w:pPr>
            <w:r/>
            <w:r>
              <w:rPr>
                <w:rFonts w:ascii="Calibri" w:hAnsi="Calibri"/>
                <w:b w:val="0"/>
                <w:color w:val="13233A"/>
                <w:sz w:val="17"/>
              </w:rPr>
              <w:t>A City Member may claim a public shift with available capacity.</w:t>
            </w:r>
          </w:p>
        </w:tc>
        <w:tc>
          <w:tcPr>
            <w:tcW w:type="dxa" w:w="2960"/>
            <w:shd w:fill="FFFFFF" w:val="clear"/>
          </w:tcPr>
          <w:p>
            <w:pPr>
              <w:spacing w:before="0" w:after="0" w:line="264" w:lineRule="auto"/>
            </w:pPr>
            <w:r/>
            <w:r>
              <w:rPr>
                <w:rFonts w:ascii="Calibri" w:hAnsi="Calibri"/>
                <w:b w:val="0"/>
                <w:color w:val="13233A"/>
                <w:sz w:val="17"/>
              </w:rPr>
              <w:t>Eligibility result and decision timestamp</w:t>
            </w:r>
          </w:p>
        </w:tc>
      </w:tr>
      <w:tr>
        <w:tc>
          <w:tcPr>
            <w:tcW w:type="dxa" w:w="2100"/>
            <w:shd w:fill="FAFBFC" w:val="clear"/>
          </w:tcPr>
          <w:p>
            <w:pPr>
              <w:spacing w:before="0" w:after="0" w:line="264" w:lineRule="auto"/>
            </w:pPr>
            <w:r/>
            <w:r>
              <w:rPr>
                <w:rFonts w:ascii="Calibri" w:hAnsi="Calibri"/>
                <w:b/>
                <w:color w:val="13233A"/>
                <w:sz w:val="17"/>
              </w:rPr>
              <w:t>Credit rule</w:t>
            </w:r>
          </w:p>
        </w:tc>
        <w:tc>
          <w:tcPr>
            <w:tcW w:type="dxa" w:w="4300"/>
            <w:shd w:fill="FAFBFC" w:val="clear"/>
          </w:tcPr>
          <w:p>
            <w:pPr>
              <w:spacing w:before="0" w:after="0" w:line="264" w:lineRule="auto"/>
            </w:pPr>
            <w:r/>
            <w:r>
              <w:rPr>
                <w:rFonts w:ascii="Calibri" w:hAnsi="Calibri"/>
                <w:b w:val="0"/>
                <w:color w:val="13233A"/>
                <w:sz w:val="17"/>
              </w:rPr>
              <w:t>Verified completion of this task issues a specified city credit amount.</w:t>
            </w:r>
          </w:p>
        </w:tc>
        <w:tc>
          <w:tcPr>
            <w:tcW w:type="dxa" w:w="2960"/>
            <w:shd w:fill="FAFBFC" w:val="clear"/>
          </w:tcPr>
          <w:p>
            <w:pPr>
              <w:spacing w:before="0" w:after="0" w:line="264" w:lineRule="auto"/>
            </w:pPr>
            <w:r/>
            <w:r>
              <w:rPr>
                <w:rFonts w:ascii="Calibri" w:hAnsi="Calibri"/>
                <w:b w:val="0"/>
                <w:color w:val="13233A"/>
                <w:sz w:val="17"/>
              </w:rPr>
              <w:t>Calculation inputs and issued-credit event</w:t>
            </w:r>
          </w:p>
        </w:tc>
      </w:tr>
      <w:tr>
        <w:tc>
          <w:tcPr>
            <w:tcW w:type="dxa" w:w="2100"/>
            <w:shd w:fill="FFFFFF" w:val="clear"/>
          </w:tcPr>
          <w:p>
            <w:pPr>
              <w:spacing w:before="0" w:after="0" w:line="264" w:lineRule="auto"/>
            </w:pPr>
            <w:r/>
            <w:r>
              <w:rPr>
                <w:rFonts w:ascii="Calibri" w:hAnsi="Calibri"/>
                <w:b/>
                <w:color w:val="13233A"/>
                <w:sz w:val="17"/>
              </w:rPr>
              <w:t>Exception/dispute rule</w:t>
            </w:r>
          </w:p>
        </w:tc>
        <w:tc>
          <w:tcPr>
            <w:tcW w:type="dxa" w:w="4300"/>
            <w:shd w:fill="FFFFFF" w:val="clear"/>
          </w:tcPr>
          <w:p>
            <w:pPr>
              <w:spacing w:before="0" w:after="0" w:line="264" w:lineRule="auto"/>
            </w:pPr>
            <w:r/>
            <w:r>
              <w:rPr>
                <w:rFonts w:ascii="Calibri" w:hAnsi="Calibri"/>
                <w:b w:val="0"/>
                <w:color w:val="13233A"/>
                <w:sz w:val="17"/>
              </w:rPr>
              <w:t>An authorized reviewer may correct an entry with a reason.</w:t>
            </w:r>
          </w:p>
        </w:tc>
        <w:tc>
          <w:tcPr>
            <w:tcW w:type="dxa" w:w="2960"/>
            <w:shd w:fill="FFFFFF" w:val="clear"/>
          </w:tcPr>
          <w:p>
            <w:pPr>
              <w:spacing w:before="0" w:after="0" w:line="264" w:lineRule="auto"/>
            </w:pPr>
            <w:r/>
            <w:r>
              <w:rPr>
                <w:rFonts w:ascii="Calibri" w:hAnsi="Calibri"/>
                <w:b w:val="0"/>
                <w:color w:val="13233A"/>
                <w:sz w:val="17"/>
              </w:rPr>
              <w:t>Superseding action, reason, and prior-event reference</w:t>
            </w:r>
          </w:p>
        </w:tc>
      </w:tr>
    </w:tbl>
    <w:p>
      <w:pPr>
        <w:spacing w:after="80"/>
      </w:pPr>
    </w:p>
    <w:p>
      <w:pPr>
        <w:pStyle w:val="Heading2"/>
      </w:pPr>
      <w:r>
        <w:rPr>
          <w:rFonts w:ascii="Calibri" w:hAnsi="Calibri"/>
          <w:b/>
          <w:color w:val="2E74B5"/>
          <w:sz w:val="26"/>
        </w:rPr>
        <w:t>How policy becomes operational</w:t>
      </w:r>
    </w:p>
    <w:p>
      <w:pPr>
        <w:spacing w:after="100" w:line="269" w:lineRule="auto"/>
        <w:ind w:left="461" w:hanging="360"/>
      </w:pPr>
      <w:r>
        <w:rPr>
          <w:rFonts w:ascii="Calibri" w:hAnsi="Calibri"/>
          <w:b/>
          <w:color w:val="1F4D78"/>
          <w:sz w:val="20"/>
        </w:rPr>
        <w:t xml:space="preserve">1.  </w:t>
      </w:r>
      <w:r>
        <w:rPr>
          <w:rFonts w:ascii="Calibri" w:hAnsi="Calibri"/>
          <w:color w:val="13233A"/>
          <w:sz w:val="20"/>
        </w:rPr>
        <w:t>Publish the policy. Give people a plain-language explanation, an accountable policy owner, an effective date, and a version identifier.</w:t>
      </w:r>
    </w:p>
    <w:p>
      <w:pPr>
        <w:spacing w:after="100" w:line="269" w:lineRule="auto"/>
        <w:ind w:left="461" w:hanging="360"/>
      </w:pPr>
      <w:r>
        <w:rPr>
          <w:rFonts w:ascii="Calibri" w:hAnsi="Calibri"/>
          <w:b/>
          <w:color w:val="1F4D78"/>
          <w:sz w:val="20"/>
        </w:rPr>
        <w:t xml:space="preserve">2.  </w:t>
      </w:r>
      <w:r>
        <w:rPr>
          <w:rFonts w:ascii="Calibri" w:hAnsi="Calibri"/>
          <w:color w:val="13233A"/>
          <w:sz w:val="20"/>
        </w:rPr>
        <w:t>Translate the rule. Express the eligibility, authority, calculation, or exception conditions in a versioned rule configuration that can be tested before release.</w:t>
      </w:r>
    </w:p>
    <w:p>
      <w:pPr>
        <w:spacing w:after="100" w:line="269" w:lineRule="auto"/>
        <w:ind w:left="461" w:hanging="360"/>
      </w:pPr>
      <w:r>
        <w:rPr>
          <w:rFonts w:ascii="Calibri" w:hAnsi="Calibri"/>
          <w:b/>
          <w:color w:val="1F4D78"/>
          <w:sz w:val="20"/>
        </w:rPr>
        <w:t xml:space="preserve">3.  </w:t>
      </w:r>
      <w:r>
        <w:rPr>
          <w:rFonts w:ascii="Calibri" w:hAnsi="Calibri"/>
          <w:color w:val="13233A"/>
          <w:sz w:val="20"/>
        </w:rPr>
        <w:t>Evaluate at the point of action. When the system approves, denies, verifies, or issues credit, record the outcome and the policy version used.</w:t>
      </w:r>
    </w:p>
    <w:p>
      <w:pPr>
        <w:spacing w:after="100" w:line="269" w:lineRule="auto"/>
        <w:ind w:left="461" w:hanging="360"/>
      </w:pPr>
      <w:r>
        <w:rPr>
          <w:rFonts w:ascii="Calibri" w:hAnsi="Calibri"/>
          <w:b/>
          <w:color w:val="1F4D78"/>
          <w:sz w:val="20"/>
        </w:rPr>
        <w:t xml:space="preserve">4.  </w:t>
      </w:r>
      <w:r>
        <w:rPr>
          <w:rFonts w:ascii="Calibri" w:hAnsi="Calibri"/>
          <w:color w:val="13233A"/>
          <w:sz w:val="20"/>
        </w:rPr>
        <w:t>Correct transparently. A later correction is a new authorized action that references the earlier one, retains a reason, and follows the stated review or dispute process.</w:t>
      </w:r>
    </w:p>
    <w:tbl>
      <w:tblPr>
        <w:tblW w:type="dxa" w:w="9360"/>
        <w:jc w:val="left"/>
        <w:tblLayout w:type="fixed"/>
        <w:tblLook w:firstColumn="1" w:firstRow="1" w:lastColumn="0" w:lastRow="0" w:noHBand="0" w:noVBand="1" w:val="04A0"/>
        <w:tblInd w:w="120" w:type="dxa"/>
        <w:tblBorders>
          <w:top w:val="single" w:sz="7" w:space="0" w:color="C7D6EB"/>
          <w:left w:val="single" w:sz="7" w:space="0" w:color="C7D6EB"/>
          <w:bottom w:val="single" w:sz="7" w:space="0" w:color="C7D6EB"/>
          <w:right w:val="single" w:sz="7" w:space="0" w:color="C7D6EB"/>
          <w:insideH w:val="single" w:sz="7" w:space="0" w:color="C7D6EB"/>
          <w:insideV w:val="single" w:sz="7" w:space="0" w:color="C7D6EB"/>
        </w:tblBorders>
      </w:tblPr>
      <w:tblGrid>
        <w:gridCol w:w="740"/>
        <w:gridCol w:w="8620"/>
      </w:tblGrid>
      <w:tr>
        <w:tc>
          <w:tcPr>
            <w:tcW w:type="dxa" w:w="740"/>
            <w:tcMar>
              <w:top w:w="160" w:type="dxa"/>
              <w:start w:w="100" w:type="dxa"/>
              <w:bottom w:w="160" w:type="dxa"/>
              <w:end w:w="100" w:type="dxa"/>
            </w:tcMar>
            <w:vAlign w:val="center"/>
            <w:shd w:fill="2E74B5" w:val="clear"/>
          </w:tcPr>
          <w:p>
            <w:pPr>
              <w:spacing w:before="0" w:after="0" w:line="264" w:lineRule="auto"/>
              <w:jc w:val="center"/>
            </w:pPr>
            <w:r/>
            <w:r>
              <w:rPr>
                <w:rFonts w:ascii="Calibri" w:hAnsi="Calibri"/>
                <w:b/>
                <w:color w:val="FFFFFF"/>
                <w:sz w:val="17"/>
              </w:rPr>
              <w:t>GUARDRAIL</w:t>
            </w:r>
          </w:p>
        </w:tc>
        <w:tc>
          <w:tcPr>
            <w:tcW w:type="dxa" w:w="8620"/>
            <w:tcMar>
              <w:top w:w="140" w:type="dxa"/>
              <w:start w:w="180" w:type="dxa"/>
              <w:bottom w:w="140" w:type="dxa"/>
              <w:end w:w="180" w:type="dxa"/>
            </w:tcMar>
            <w:vAlign w:val="center"/>
            <w:shd w:fill="F4F7FB" w:val="clear"/>
          </w:tcPr>
          <w:p>
            <w:pPr>
              <w:spacing w:after="60"/>
            </w:pPr>
            <w:r/>
            <w:r>
              <w:rPr>
                <w:rFonts w:ascii="Calibri" w:hAnsi="Calibri"/>
                <w:b/>
                <w:color w:val="13233A"/>
                <w:sz w:val="21"/>
              </w:rPr>
              <w:t>Automation must preserve human accountability.</w:t>
            </w:r>
          </w:p>
          <w:p>
            <w:pPr>
              <w:spacing w:after="0" w:line="276" w:lineRule="auto"/>
            </w:pPr>
            <w:r>
              <w:rPr>
                <w:rFonts w:ascii="Calibri" w:hAnsi="Calibri"/>
                <w:color w:val="5C6673"/>
                <w:sz w:val="19"/>
              </w:rPr>
              <w:t>Rules can make routine decisions consistent and auditable; they do not replace a published appeal process, an authorized reviewer, or the obligation to explain consequential decisions.</w:t>
            </w:r>
          </w:p>
        </w:tc>
      </w:tr>
    </w:tbl>
    <w:p>
      <w:pPr>
        <w:spacing w:after="80"/>
      </w:pPr>
    </w:p>
    <w:p>
      <w:r>
        <w:br w:type="page"/>
      </w:r>
    </w:p>
    <w:p>
      <w:pPr>
        <w:pStyle w:val="Heading1"/>
      </w:pPr>
      <w:r>
        <w:rPr>
          <w:rFonts w:ascii="Calibri" w:hAnsi="Calibri"/>
          <w:b/>
          <w:color w:val="2E74B5"/>
          <w:sz w:val="32"/>
        </w:rPr>
        <w:t>Near-term implementation plan</w:t>
      </w:r>
    </w:p>
    <w:p>
      <w:pPr>
        <w:spacing w:line="276" w:lineRule="auto"/>
      </w:pPr>
      <w:r>
        <w:rPr>
          <w:rFonts w:ascii="Calibri" w:hAnsi="Calibri"/>
          <w:color w:val="5C6673"/>
          <w:sz w:val="21"/>
        </w:rPr>
        <w:t>The following work makes the current shared-core model safer and prepares it for future organization and city handoffs. It should be treated as platform architecture work, not optional cleanup.</w:t>
      </w:r>
    </w:p>
    <w:tbl>
      <w:tblPr>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760"/>
        <w:gridCol w:w="1650"/>
        <w:gridCol w:w="3650"/>
        <w:gridCol w:w="3300"/>
      </w:tblGrid>
      <w:tr>
        <w:trPr>
          <w:tblHeader w:val="true"/>
        </w:trPr>
        <w:tc>
          <w:tcPr>
            <w:tcW w:type="dxa" w:w="76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PRIORITY</w:t>
            </w:r>
          </w:p>
        </w:tc>
        <w:tc>
          <w:tcPr>
            <w:tcW w:type="dxa" w:w="165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WORKSTREAM</w:t>
            </w:r>
          </w:p>
        </w:tc>
        <w:tc>
          <w:tcPr>
            <w:tcW w:type="dxa" w:w="365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DELIVERABLE</w:t>
            </w:r>
          </w:p>
        </w:tc>
        <w:tc>
          <w:tcPr>
            <w:tcW w:type="dxa" w:w="3300"/>
            <w:tcMar>
              <w:top w:w="90" w:type="dxa"/>
              <w:start w:w="120" w:type="dxa"/>
              <w:bottom w:w="90" w:type="dxa"/>
              <w:end w:w="120" w:type="dxa"/>
            </w:tcMar>
            <w:vAlign w:val="center"/>
            <w:shd w:fill="E8EEF5" w:val="clear"/>
          </w:tcPr>
          <w:p>
            <w:pPr>
              <w:spacing w:before="0" w:after="0" w:line="264" w:lineRule="auto"/>
            </w:pPr>
            <w:r/>
            <w:r>
              <w:rPr>
                <w:rFonts w:ascii="Calibri" w:hAnsi="Calibri"/>
                <w:b/>
                <w:color w:val="1F4D78"/>
                <w:sz w:val="17"/>
              </w:rPr>
              <w:t>DONE WHEN</w:t>
            </w:r>
          </w:p>
        </w:tc>
      </w:tr>
      <w:tr>
        <w:tc>
          <w:tcPr>
            <w:tcW w:type="dxa" w:w="760"/>
            <w:shd w:fill="FFFFFF" w:val="clear"/>
          </w:tcPr>
          <w:p>
            <w:pPr>
              <w:spacing w:before="0" w:after="0" w:line="264" w:lineRule="auto"/>
            </w:pPr>
            <w:r/>
            <w:r>
              <w:rPr>
                <w:rFonts w:ascii="Calibri" w:hAnsi="Calibri"/>
                <w:b/>
                <w:color w:val="13233A"/>
                <w:sz w:val="17"/>
              </w:rPr>
              <w:t>P0</w:t>
            </w:r>
          </w:p>
        </w:tc>
        <w:tc>
          <w:tcPr>
            <w:tcW w:type="dxa" w:w="1650"/>
            <w:shd w:fill="FFFFFF" w:val="clear"/>
          </w:tcPr>
          <w:p>
            <w:pPr>
              <w:spacing w:before="0" w:after="0" w:line="264" w:lineRule="auto"/>
            </w:pPr>
            <w:r/>
            <w:r>
              <w:rPr>
                <w:rFonts w:ascii="Calibri" w:hAnsi="Calibri"/>
                <w:b w:val="0"/>
                <w:color w:val="13233A"/>
                <w:sz w:val="17"/>
              </w:rPr>
              <w:t>Release discipline</w:t>
            </w:r>
          </w:p>
        </w:tc>
        <w:tc>
          <w:tcPr>
            <w:tcW w:type="dxa" w:w="3650"/>
            <w:shd w:fill="FFFFFF" w:val="clear"/>
          </w:tcPr>
          <w:p>
            <w:pPr>
              <w:spacing w:before="0" w:after="0" w:line="264" w:lineRule="auto"/>
            </w:pPr>
            <w:r/>
            <w:r>
              <w:rPr>
                <w:rFonts w:ascii="Calibri" w:hAnsi="Calibri"/>
                <w:b w:val="0"/>
                <w:color w:val="13233A"/>
                <w:sz w:val="17"/>
              </w:rPr>
              <w:t>Schema-version check, migration runbook, staging/prod environment map, and deploy gate.</w:t>
            </w:r>
          </w:p>
        </w:tc>
        <w:tc>
          <w:tcPr>
            <w:tcW w:type="dxa" w:w="3300"/>
            <w:shd w:fill="FFFFFF" w:val="clear"/>
          </w:tcPr>
          <w:p>
            <w:pPr>
              <w:spacing w:before="0" w:after="0" w:line="264" w:lineRule="auto"/>
            </w:pPr>
            <w:r/>
            <w:r>
              <w:rPr>
                <w:rFonts w:ascii="Calibri" w:hAnsi="Calibri"/>
                <w:b w:val="0"/>
                <w:color w:val="13233A"/>
                <w:sz w:val="17"/>
              </w:rPr>
              <w:t>A deployment cannot reach an incompatible database schema without being detected before user login.</w:t>
            </w:r>
          </w:p>
        </w:tc>
      </w:tr>
      <w:tr>
        <w:tc>
          <w:tcPr>
            <w:tcW w:type="dxa" w:w="760"/>
            <w:shd w:fill="FAFBFC" w:val="clear"/>
          </w:tcPr>
          <w:p>
            <w:pPr>
              <w:spacing w:before="0" w:after="0" w:line="264" w:lineRule="auto"/>
            </w:pPr>
            <w:r/>
            <w:r>
              <w:rPr>
                <w:rFonts w:ascii="Calibri" w:hAnsi="Calibri"/>
                <w:b/>
                <w:color w:val="13233A"/>
                <w:sz w:val="17"/>
              </w:rPr>
              <w:t>P0</w:t>
            </w:r>
          </w:p>
        </w:tc>
        <w:tc>
          <w:tcPr>
            <w:tcW w:type="dxa" w:w="1650"/>
            <w:shd w:fill="FAFBFC" w:val="clear"/>
          </w:tcPr>
          <w:p>
            <w:pPr>
              <w:spacing w:before="0" w:after="0" w:line="264" w:lineRule="auto"/>
            </w:pPr>
            <w:r/>
            <w:r>
              <w:rPr>
                <w:rFonts w:ascii="Calibri" w:hAnsi="Calibri"/>
                <w:b w:val="0"/>
                <w:color w:val="13233A"/>
                <w:sz w:val="17"/>
              </w:rPr>
              <w:t>Recovery</w:t>
            </w:r>
          </w:p>
        </w:tc>
        <w:tc>
          <w:tcPr>
            <w:tcW w:type="dxa" w:w="3650"/>
            <w:shd w:fill="FAFBFC" w:val="clear"/>
          </w:tcPr>
          <w:p>
            <w:pPr>
              <w:spacing w:before="0" w:after="0" w:line="264" w:lineRule="auto"/>
            </w:pPr>
            <w:r/>
            <w:r>
              <w:rPr>
                <w:rFonts w:ascii="Calibri" w:hAnsi="Calibri"/>
                <w:b w:val="0"/>
                <w:color w:val="13233A"/>
                <w:sz w:val="17"/>
              </w:rPr>
              <w:t>Automated backups plus documented restore drills for core and each city ledger.</w:t>
            </w:r>
          </w:p>
        </w:tc>
        <w:tc>
          <w:tcPr>
            <w:tcW w:type="dxa" w:w="3300"/>
            <w:shd w:fill="FAFBFC" w:val="clear"/>
          </w:tcPr>
          <w:p>
            <w:pPr>
              <w:spacing w:before="0" w:after="0" w:line="264" w:lineRule="auto"/>
            </w:pPr>
            <w:r/>
            <w:r>
              <w:rPr>
                <w:rFonts w:ascii="Calibri" w:hAnsi="Calibri"/>
                <w:b w:val="0"/>
                <w:color w:val="13233A"/>
                <w:sz w:val="17"/>
              </w:rPr>
              <w:t>A clean restore can be performed and verified on a scheduled basis.</w:t>
            </w:r>
          </w:p>
        </w:tc>
      </w:tr>
      <w:tr>
        <w:tc>
          <w:tcPr>
            <w:tcW w:type="dxa" w:w="760"/>
            <w:shd w:fill="FFFFFF" w:val="clear"/>
          </w:tcPr>
          <w:p>
            <w:pPr>
              <w:spacing w:before="0" w:after="0" w:line="264" w:lineRule="auto"/>
            </w:pPr>
            <w:r/>
            <w:r>
              <w:rPr>
                <w:rFonts w:ascii="Calibri" w:hAnsi="Calibri"/>
                <w:b/>
                <w:color w:val="13233A"/>
                <w:sz w:val="17"/>
              </w:rPr>
              <w:t>P0</w:t>
            </w:r>
          </w:p>
        </w:tc>
        <w:tc>
          <w:tcPr>
            <w:tcW w:type="dxa" w:w="1650"/>
            <w:shd w:fill="FFFFFF" w:val="clear"/>
          </w:tcPr>
          <w:p>
            <w:pPr>
              <w:spacing w:before="0" w:after="0" w:line="264" w:lineRule="auto"/>
            </w:pPr>
            <w:r/>
            <w:r>
              <w:rPr>
                <w:rFonts w:ascii="Calibri" w:hAnsi="Calibri"/>
                <w:b w:val="0"/>
                <w:color w:val="13233A"/>
                <w:sz w:val="17"/>
              </w:rPr>
              <w:t>Access boundaries</w:t>
            </w:r>
          </w:p>
        </w:tc>
        <w:tc>
          <w:tcPr>
            <w:tcW w:type="dxa" w:w="3650"/>
            <w:shd w:fill="FFFFFF" w:val="clear"/>
          </w:tcPr>
          <w:p>
            <w:pPr>
              <w:spacing w:before="0" w:after="0" w:line="264" w:lineRule="auto"/>
            </w:pPr>
            <w:r/>
            <w:r>
              <w:rPr>
                <w:rFonts w:ascii="Calibri" w:hAnsi="Calibri"/>
                <w:b w:val="0"/>
                <w:color w:val="13233A"/>
                <w:sz w:val="17"/>
              </w:rPr>
              <w:t>Automated tenant authorization tests and an organization/city access matrix.</w:t>
            </w:r>
          </w:p>
        </w:tc>
        <w:tc>
          <w:tcPr>
            <w:tcW w:type="dxa" w:w="3300"/>
            <w:shd w:fill="FFFFFF" w:val="clear"/>
          </w:tcPr>
          <w:p>
            <w:pPr>
              <w:spacing w:before="0" w:after="0" w:line="264" w:lineRule="auto"/>
            </w:pPr>
            <w:r/>
            <w:r>
              <w:rPr>
                <w:rFonts w:ascii="Calibri" w:hAnsi="Calibri"/>
                <w:b w:val="0"/>
                <w:color w:val="13233A"/>
                <w:sz w:val="17"/>
              </w:rPr>
              <w:t>Cross-organization access failures are caught in CI and reviewed after changes.</w:t>
            </w:r>
          </w:p>
        </w:tc>
      </w:tr>
      <w:tr>
        <w:tc>
          <w:tcPr>
            <w:tcW w:type="dxa" w:w="760"/>
            <w:shd w:fill="FAFBFC" w:val="clear"/>
          </w:tcPr>
          <w:p>
            <w:pPr>
              <w:spacing w:before="0" w:after="0" w:line="264" w:lineRule="auto"/>
            </w:pPr>
            <w:r/>
            <w:r>
              <w:rPr>
                <w:rFonts w:ascii="Calibri" w:hAnsi="Calibri"/>
                <w:b/>
                <w:color w:val="13233A"/>
                <w:sz w:val="17"/>
              </w:rPr>
              <w:t>P1</w:t>
            </w:r>
          </w:p>
        </w:tc>
        <w:tc>
          <w:tcPr>
            <w:tcW w:type="dxa" w:w="1650"/>
            <w:shd w:fill="FAFBFC" w:val="clear"/>
          </w:tcPr>
          <w:p>
            <w:pPr>
              <w:spacing w:before="0" w:after="0" w:line="264" w:lineRule="auto"/>
            </w:pPr>
            <w:r/>
            <w:r>
              <w:rPr>
                <w:rFonts w:ascii="Calibri" w:hAnsi="Calibri"/>
                <w:b w:val="0"/>
                <w:color w:val="13233A"/>
                <w:sz w:val="17"/>
              </w:rPr>
              <w:t>Data inventory</w:t>
            </w:r>
          </w:p>
        </w:tc>
        <w:tc>
          <w:tcPr>
            <w:tcW w:type="dxa" w:w="3650"/>
            <w:shd w:fill="FAFBFC" w:val="clear"/>
          </w:tcPr>
          <w:p>
            <w:pPr>
              <w:spacing w:before="0" w:after="0" w:line="264" w:lineRule="auto"/>
            </w:pPr>
            <w:r/>
            <w:r>
              <w:rPr>
                <w:rFonts w:ascii="Calibri" w:hAnsi="Calibri"/>
                <w:b w:val="0"/>
                <w:color w:val="13233A"/>
                <w:sz w:val="17"/>
              </w:rPr>
              <w:t>Record-by-record classification: private, organization-controlled, city-verifiable, public, and retention owner.</w:t>
            </w:r>
          </w:p>
        </w:tc>
        <w:tc>
          <w:tcPr>
            <w:tcW w:type="dxa" w:w="3300"/>
            <w:shd w:fill="FAFBFC" w:val="clear"/>
          </w:tcPr>
          <w:p>
            <w:pPr>
              <w:spacing w:before="0" w:after="0" w:line="264" w:lineRule="auto"/>
            </w:pPr>
            <w:r/>
            <w:r>
              <w:rPr>
                <w:rFonts w:ascii="Calibri" w:hAnsi="Calibri"/>
                <w:b w:val="0"/>
                <w:color w:val="13233A"/>
                <w:sz w:val="17"/>
              </w:rPr>
              <w:t>Every existing table and file class has an explicit home and retention rule.</w:t>
            </w:r>
          </w:p>
        </w:tc>
      </w:tr>
      <w:tr>
        <w:tc>
          <w:tcPr>
            <w:tcW w:type="dxa" w:w="760"/>
            <w:shd w:fill="FFFFFF" w:val="clear"/>
          </w:tcPr>
          <w:p>
            <w:pPr>
              <w:spacing w:before="0" w:after="0" w:line="264" w:lineRule="auto"/>
            </w:pPr>
            <w:r/>
            <w:r>
              <w:rPr>
                <w:rFonts w:ascii="Calibri" w:hAnsi="Calibri"/>
                <w:b/>
                <w:color w:val="13233A"/>
                <w:sz w:val="17"/>
              </w:rPr>
              <w:t>P1</w:t>
            </w:r>
          </w:p>
        </w:tc>
        <w:tc>
          <w:tcPr>
            <w:tcW w:type="dxa" w:w="1650"/>
            <w:shd w:fill="FFFFFF" w:val="clear"/>
          </w:tcPr>
          <w:p>
            <w:pPr>
              <w:spacing w:before="0" w:after="0" w:line="264" w:lineRule="auto"/>
            </w:pPr>
            <w:r/>
            <w:r>
              <w:rPr>
                <w:rFonts w:ascii="Calibri" w:hAnsi="Calibri"/>
                <w:b w:val="0"/>
                <w:color w:val="13233A"/>
                <w:sz w:val="17"/>
              </w:rPr>
              <w:t>Portability</w:t>
            </w:r>
          </w:p>
        </w:tc>
        <w:tc>
          <w:tcPr>
            <w:tcW w:type="dxa" w:w="3650"/>
            <w:shd w:fill="FFFFFF" w:val="clear"/>
          </w:tcPr>
          <w:p>
            <w:pPr>
              <w:spacing w:before="0" w:after="0" w:line="264" w:lineRule="auto"/>
            </w:pPr>
            <w:r/>
            <w:r>
              <w:rPr>
                <w:rFonts w:ascii="Calibri" w:hAnsi="Calibri"/>
                <w:b w:val="0"/>
                <w:color w:val="13233A"/>
                <w:sz w:val="17"/>
              </w:rPr>
              <w:t>Versioned organization export package, restore command, attachment manifest, and reconciliation report.</w:t>
            </w:r>
          </w:p>
        </w:tc>
        <w:tc>
          <w:tcPr>
            <w:tcW w:type="dxa" w:w="3300"/>
            <w:shd w:fill="FFFFFF" w:val="clear"/>
          </w:tcPr>
          <w:p>
            <w:pPr>
              <w:spacing w:before="0" w:after="0" w:line="264" w:lineRule="auto"/>
            </w:pPr>
            <w:r/>
            <w:r>
              <w:rPr>
                <w:rFonts w:ascii="Calibri" w:hAnsi="Calibri"/>
                <w:b w:val="0"/>
                <w:color w:val="13233A"/>
                <w:sz w:val="17"/>
              </w:rPr>
              <w:t>A test organization can move to an empty compatible node with verified integrity.</w:t>
            </w:r>
          </w:p>
        </w:tc>
      </w:tr>
      <w:tr>
        <w:tc>
          <w:tcPr>
            <w:tcW w:type="dxa" w:w="760"/>
            <w:shd w:fill="FAFBFC" w:val="clear"/>
          </w:tcPr>
          <w:p>
            <w:pPr>
              <w:spacing w:before="0" w:after="0" w:line="264" w:lineRule="auto"/>
            </w:pPr>
            <w:r/>
            <w:r>
              <w:rPr>
                <w:rFonts w:ascii="Calibri" w:hAnsi="Calibri"/>
                <w:b/>
                <w:color w:val="13233A"/>
                <w:sz w:val="17"/>
              </w:rPr>
              <w:t>P1</w:t>
            </w:r>
          </w:p>
        </w:tc>
        <w:tc>
          <w:tcPr>
            <w:tcW w:type="dxa" w:w="1650"/>
            <w:shd w:fill="FAFBFC" w:val="clear"/>
          </w:tcPr>
          <w:p>
            <w:pPr>
              <w:spacing w:before="0" w:after="0" w:line="264" w:lineRule="auto"/>
            </w:pPr>
            <w:r/>
            <w:r>
              <w:rPr>
                <w:rFonts w:ascii="Calibri" w:hAnsi="Calibri"/>
                <w:b w:val="0"/>
                <w:color w:val="13233A"/>
                <w:sz w:val="17"/>
              </w:rPr>
              <w:t>Policy registry</w:t>
            </w:r>
          </w:p>
        </w:tc>
        <w:tc>
          <w:tcPr>
            <w:tcW w:type="dxa" w:w="3650"/>
            <w:shd w:fill="FAFBFC" w:val="clear"/>
          </w:tcPr>
          <w:p>
            <w:pPr>
              <w:spacing w:before="0" w:after="0" w:line="264" w:lineRule="auto"/>
            </w:pPr>
            <w:r/>
            <w:r>
              <w:rPr>
                <w:rFonts w:ascii="Calibri" w:hAnsi="Calibri"/>
                <w:b w:val="0"/>
                <w:color w:val="13233A"/>
                <w:sz w:val="17"/>
              </w:rPr>
              <w:t>Versioned human-readable and machine-readable policy records with hashes.</w:t>
            </w:r>
          </w:p>
        </w:tc>
        <w:tc>
          <w:tcPr>
            <w:tcW w:type="dxa" w:w="3300"/>
            <w:shd w:fill="FAFBFC" w:val="clear"/>
          </w:tcPr>
          <w:p>
            <w:pPr>
              <w:spacing w:before="0" w:after="0" w:line="264" w:lineRule="auto"/>
            </w:pPr>
            <w:r/>
            <w:r>
              <w:rPr>
                <w:rFonts w:ascii="Calibri" w:hAnsi="Calibri"/>
                <w:b w:val="0"/>
                <w:color w:val="13233A"/>
                <w:sz w:val="17"/>
              </w:rPr>
              <w:t>Consequential events can cite the policy version that authorized them.</w:t>
            </w:r>
          </w:p>
        </w:tc>
      </w:tr>
      <w:tr>
        <w:tc>
          <w:tcPr>
            <w:tcW w:type="dxa" w:w="760"/>
            <w:shd w:fill="FFFFFF" w:val="clear"/>
          </w:tcPr>
          <w:p>
            <w:pPr>
              <w:spacing w:before="0" w:after="0" w:line="264" w:lineRule="auto"/>
            </w:pPr>
            <w:r/>
            <w:r>
              <w:rPr>
                <w:rFonts w:ascii="Calibri" w:hAnsi="Calibri"/>
                <w:b/>
                <w:color w:val="13233A"/>
                <w:sz w:val="17"/>
              </w:rPr>
              <w:t>P2</w:t>
            </w:r>
          </w:p>
        </w:tc>
        <w:tc>
          <w:tcPr>
            <w:tcW w:type="dxa" w:w="1650"/>
            <w:shd w:fill="FFFFFF" w:val="clear"/>
          </w:tcPr>
          <w:p>
            <w:pPr>
              <w:spacing w:before="0" w:after="0" w:line="264" w:lineRule="auto"/>
            </w:pPr>
            <w:r/>
            <w:r>
              <w:rPr>
                <w:rFonts w:ascii="Calibri" w:hAnsi="Calibri"/>
                <w:b w:val="0"/>
                <w:color w:val="13233A"/>
                <w:sz w:val="17"/>
              </w:rPr>
              <w:t>Organization node pilot</w:t>
            </w:r>
          </w:p>
        </w:tc>
        <w:tc>
          <w:tcPr>
            <w:tcW w:type="dxa" w:w="3650"/>
            <w:shd w:fill="FFFFFF" w:val="clear"/>
          </w:tcPr>
          <w:p>
            <w:pPr>
              <w:spacing w:before="0" w:after="0" w:line="264" w:lineRule="auto"/>
            </w:pPr>
            <w:r/>
            <w:r>
              <w:rPr>
                <w:rFonts w:ascii="Calibri" w:hAnsi="Calibri"/>
                <w:b w:val="0"/>
                <w:color w:val="13233A"/>
                <w:sz w:val="17"/>
              </w:rPr>
              <w:t>One opt-in partner organization using a dedicated database and signed sync contract.</w:t>
            </w:r>
          </w:p>
        </w:tc>
        <w:tc>
          <w:tcPr>
            <w:tcW w:type="dxa" w:w="3300"/>
            <w:shd w:fill="FFFFFF" w:val="clear"/>
          </w:tcPr>
          <w:p>
            <w:pPr>
              <w:spacing w:before="0" w:after="0" w:line="264" w:lineRule="auto"/>
            </w:pPr>
            <w:r/>
            <w:r>
              <w:rPr>
                <w:rFonts w:ascii="Calibri" w:hAnsi="Calibri"/>
                <w:b w:val="0"/>
                <w:color w:val="13233A"/>
                <w:sz w:val="17"/>
              </w:rPr>
              <w:t>The partner can operate, back up, export, and hand back its records without breaking city accounting.</w:t>
            </w:r>
          </w:p>
        </w:tc>
      </w:tr>
      <w:tr>
        <w:tc>
          <w:tcPr>
            <w:tcW w:type="dxa" w:w="760"/>
            <w:shd w:fill="FAFBFC" w:val="clear"/>
          </w:tcPr>
          <w:p>
            <w:pPr>
              <w:spacing w:before="0" w:after="0" w:line="264" w:lineRule="auto"/>
            </w:pPr>
            <w:r/>
            <w:r>
              <w:rPr>
                <w:rFonts w:ascii="Calibri" w:hAnsi="Calibri"/>
                <w:b/>
                <w:color w:val="13233A"/>
                <w:sz w:val="17"/>
              </w:rPr>
              <w:t>P2</w:t>
            </w:r>
          </w:p>
        </w:tc>
        <w:tc>
          <w:tcPr>
            <w:tcW w:type="dxa" w:w="1650"/>
            <w:shd w:fill="FAFBFC" w:val="clear"/>
          </w:tcPr>
          <w:p>
            <w:pPr>
              <w:spacing w:before="0" w:after="0" w:line="264" w:lineRule="auto"/>
            </w:pPr>
            <w:r/>
            <w:r>
              <w:rPr>
                <w:rFonts w:ascii="Calibri" w:hAnsi="Calibri"/>
                <w:b w:val="0"/>
                <w:color w:val="13233A"/>
                <w:sz w:val="17"/>
              </w:rPr>
              <w:t>City operator pilot</w:t>
            </w:r>
          </w:p>
        </w:tc>
        <w:tc>
          <w:tcPr>
            <w:tcW w:type="dxa" w:w="3650"/>
            <w:shd w:fill="FAFBFC" w:val="clear"/>
          </w:tcPr>
          <w:p>
            <w:pPr>
              <w:spacing w:before="0" w:after="0" w:line="264" w:lineRule="auto"/>
            </w:pPr>
            <w:r/>
            <w:r>
              <w:rPr>
                <w:rFonts w:ascii="Calibri" w:hAnsi="Calibri"/>
                <w:b w:val="0"/>
                <w:color w:val="13233A"/>
                <w:sz w:val="17"/>
              </w:rPr>
              <w:t>A local chapter/operator runbook and a city-ledger handoff rehearsal.</w:t>
            </w:r>
          </w:p>
        </w:tc>
        <w:tc>
          <w:tcPr>
            <w:tcW w:type="dxa" w:w="3300"/>
            <w:shd w:fill="FAFBFC" w:val="clear"/>
          </w:tcPr>
          <w:p>
            <w:pPr>
              <w:spacing w:before="0" w:after="0" w:line="264" w:lineRule="auto"/>
            </w:pPr>
            <w:r/>
            <w:r>
              <w:rPr>
                <w:rFonts w:ascii="Calibri" w:hAnsi="Calibri"/>
                <w:b w:val="0"/>
                <w:color w:val="13233A"/>
                <w:sz w:val="17"/>
              </w:rPr>
              <w:t>A qualified local operator can take responsibility with auditable controls.</w:t>
            </w:r>
          </w:p>
        </w:tc>
      </w:tr>
    </w:tbl>
    <w:p>
      <w:pPr>
        <w:spacing w:after="80"/>
      </w:pPr>
    </w:p>
    <w:p>
      <w:pPr>
        <w:pStyle w:val="Heading2"/>
      </w:pPr>
      <w:r>
        <w:rPr>
          <w:rFonts w:ascii="Calibri" w:hAnsi="Calibri"/>
          <w:b/>
          <w:color w:val="2E74B5"/>
          <w:sz w:val="26"/>
        </w:rPr>
        <w:t>Decisions to make now</w:t>
      </w:r>
    </w:p>
    <w:p>
      <w:pPr>
        <w:pStyle w:val="ListBullet"/>
        <w:spacing w:after="80" w:line="280" w:lineRule="auto"/>
      </w:pPr>
      <w:r>
        <w:rPr>
          <w:rFonts w:ascii="Calibri" w:hAnsi="Calibri"/>
          <w:color w:val="13233A"/>
          <w:sz w:val="21"/>
        </w:rPr>
        <w:t>Affirm that the shared core is an initial hosted coordination model, not a permanent claim of ownership over organization data.</w:t>
      </w:r>
    </w:p>
    <w:p>
      <w:pPr>
        <w:pStyle w:val="ListBullet"/>
        <w:spacing w:after="80" w:line="280" w:lineRule="auto"/>
      </w:pPr>
      <w:r>
        <w:rPr>
          <w:rFonts w:ascii="Calibri" w:hAnsi="Calibri"/>
          <w:color w:val="13233A"/>
          <w:sz w:val="21"/>
        </w:rPr>
        <w:t>Define a canonical organization export contract before substantial external adoption makes migration harder.</w:t>
      </w:r>
    </w:p>
    <w:p>
      <w:pPr>
        <w:pStyle w:val="ListBullet"/>
        <w:spacing w:after="80" w:line="280" w:lineRule="auto"/>
      </w:pPr>
      <w:r>
        <w:rPr>
          <w:rFonts w:ascii="Calibri" w:hAnsi="Calibri"/>
          <w:color w:val="13233A"/>
          <w:sz w:val="21"/>
        </w:rPr>
        <w:t>Adopt a written ledger data-minimization policy before credits become meaningful or redeemable.</w:t>
      </w:r>
    </w:p>
    <w:p>
      <w:pPr>
        <w:pStyle w:val="ListBullet"/>
        <w:spacing w:after="80" w:line="280" w:lineRule="auto"/>
      </w:pPr>
      <w:r>
        <w:rPr>
          <w:rFonts w:ascii="Calibri" w:hAnsi="Calibri"/>
          <w:color w:val="13233A"/>
          <w:sz w:val="21"/>
        </w:rPr>
        <w:t>Assign a named owner for schema migration safety, database backups, token rotation, and incident response.</w:t>
      </w:r>
    </w:p>
    <w:p>
      <w:pPr>
        <w:pStyle w:val="ListBullet"/>
        <w:spacing w:after="80" w:line="280" w:lineRule="auto"/>
      </w:pPr>
      <w:r>
        <w:rPr>
          <w:rFonts w:ascii="Calibri" w:hAnsi="Calibri"/>
          <w:color w:val="13233A"/>
          <w:sz w:val="21"/>
        </w:rPr>
        <w:t>Choose one real organization and one city as future portability pilots, but do not move them until the export/restore controls are tested.</w:t>
      </w:r>
    </w:p>
    <w:tbl>
      <w:tblPr>
        <w:tblW w:type="dxa" w:w="9360"/>
        <w:jc w:val="left"/>
        <w:tblLayout w:type="fixed"/>
        <w:tblLook w:firstColumn="1" w:firstRow="1" w:lastColumn="0" w:lastRow="0" w:noHBand="0" w:noVBand="1" w:val="04A0"/>
        <w:tblInd w:w="120" w:type="dxa"/>
        <w:tblBorders>
          <w:top w:val="single" w:sz="7" w:space="0" w:color="C7D6EB"/>
          <w:left w:val="single" w:sz="7" w:space="0" w:color="C7D6EB"/>
          <w:bottom w:val="single" w:sz="7" w:space="0" w:color="C7D6EB"/>
          <w:right w:val="single" w:sz="7" w:space="0" w:color="C7D6EB"/>
          <w:insideH w:val="single" w:sz="7" w:space="0" w:color="C7D6EB"/>
          <w:insideV w:val="single" w:sz="7" w:space="0" w:color="C7D6EB"/>
        </w:tblBorders>
      </w:tblPr>
      <w:tblGrid>
        <w:gridCol w:w="740"/>
        <w:gridCol w:w="8620"/>
      </w:tblGrid>
      <w:tr>
        <w:tc>
          <w:tcPr>
            <w:tcW w:type="dxa" w:w="740"/>
            <w:tcMar>
              <w:top w:w="160" w:type="dxa"/>
              <w:start w:w="100" w:type="dxa"/>
              <w:bottom w:w="160" w:type="dxa"/>
              <w:end w:w="100" w:type="dxa"/>
            </w:tcMar>
            <w:vAlign w:val="center"/>
            <w:shd w:fill="A47720" w:val="clear"/>
          </w:tcPr>
          <w:p>
            <w:pPr>
              <w:spacing w:before="0" w:after="0" w:line="264" w:lineRule="auto"/>
              <w:jc w:val="center"/>
            </w:pPr>
            <w:r/>
            <w:r>
              <w:rPr>
                <w:rFonts w:ascii="Calibri" w:hAnsi="Calibri"/>
                <w:b/>
                <w:color w:val="FFFFFF"/>
                <w:sz w:val="17"/>
              </w:rPr>
              <w:t>BOTTOM LINE</w:t>
            </w:r>
          </w:p>
        </w:tc>
        <w:tc>
          <w:tcPr>
            <w:tcW w:type="dxa" w:w="8620"/>
            <w:tcMar>
              <w:top w:w="140" w:type="dxa"/>
              <w:start w:w="180" w:type="dxa"/>
              <w:bottom w:w="140" w:type="dxa"/>
              <w:end w:w="180" w:type="dxa"/>
            </w:tcMar>
            <w:vAlign w:val="center"/>
            <w:shd w:fill="FFF6E1" w:val="clear"/>
          </w:tcPr>
          <w:p>
            <w:pPr>
              <w:spacing w:after="60"/>
            </w:pPr>
            <w:r/>
            <w:r>
              <w:rPr>
                <w:rFonts w:ascii="Calibri" w:hAnsi="Calibri"/>
                <w:b/>
                <w:color w:val="13233A"/>
                <w:sz w:val="21"/>
              </w:rPr>
              <w:t>Start shared. Design portable. Isolate deliberately.</w:t>
            </w:r>
          </w:p>
          <w:p>
            <w:pPr>
              <w:spacing w:after="0" w:line="276" w:lineRule="auto"/>
            </w:pPr>
            <w:r>
              <w:rPr>
                <w:rFonts w:ascii="Calibri" w:hAnsi="Calibri"/>
                <w:color w:val="5C6673"/>
                <w:sz w:val="19"/>
              </w:rPr>
              <w:t>City/Sync can serve organizations quickly with a shared core today while still building toward independent organizations, city-operated infrastructure, and verifiable civic coordination. The quality of the boundaries and handoff tools matters more than how many databases exist at the beginning.</w:t>
            </w:r>
          </w:p>
        </w:tc>
      </w:tr>
    </w:tbl>
    <w:p>
      <w:pPr>
        <w:spacing w:after="80"/>
      </w:pPr>
    </w:p>
    <w:p>
      <w:pPr>
        <w:spacing w:before="360" w:after="0"/>
        <w:jc w:val="center"/>
      </w:pPr>
      <w:r>
        <w:rPr>
          <w:rFonts w:ascii="Calibri" w:hAnsi="Calibri"/>
          <w:color w:val="5C6673"/>
          <w:sz w:val="17"/>
        </w:rPr>
        <w:t>End of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673"/>
        <w:sz w:val="17"/>
      </w:rPr>
      <w:t>Internal strategy draft  |  25 August 2026</w:t>
    </w:r>
    <w:r>
      <w:t xml:space="preserve">              </w:t>
    </w:r>
    <w:r>
      <w:rPr>
        <w:rFonts w:ascii="Calibri" w:hAnsi="Calibri"/>
        <w:color w:val="5C66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673"/>
        <w:sz w:val="17"/>
      </w:rPr>
      <w:t>CITY/SYNC  |  DATABASE EVOLUTION PATH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3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City/Sync Database Evolution Path</dc:title>
  <dc:subject>A staged plan from shared coordination infrastructure to city and organization-operated data systems.</dc:subject>
  <dc:creator>City/Sync</dc:creator>
  <cp:keywords/>
  <dc:description>Internal strategy draft</dc:description>
  <cp:lastModifiedBy/>
  <cp:revision>1</cp:revision>
  <dcterms:created xsi:type="dcterms:W3CDTF">2013-12-23T23:15:00Z</dcterms:created>
  <dcterms:modified xsi:type="dcterms:W3CDTF">2013-12-23T23:15:00Z</dcterms:modified>
  <cp:category/>
</cp:coreProperties>
</file>