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100"/>
        <w:jc w:val="center"/>
      </w:pPr>
      <w:r>
        <w:rPr>
          <w:rFonts w:ascii="Calibri" w:hAnsi="Calibri"/>
          <w:b/>
          <w:i w:val="0"/>
          <w:color w:val="A87BC7"/>
          <w:sz w:val="30"/>
        </w:rPr>
        <w:t>DRALO</w:t>
      </w:r>
    </w:p>
    <w:p>
      <w:pPr>
        <w:keepNext/>
        <w:spacing w:after="100"/>
        <w:jc w:val="center"/>
      </w:pPr>
      <w:r>
        <w:rPr>
          <w:rFonts w:ascii="Calibri" w:hAnsi="Calibri"/>
          <w:b/>
          <w:i w:val="0"/>
          <w:color w:val="734A91"/>
          <w:sz w:val="48"/>
        </w:rPr>
        <w:t>RUOE STYLE CARDS</w:t>
      </w:r>
    </w:p>
    <w:p>
      <w:pPr>
        <w:jc w:val="center"/>
      </w:pPr>
      <w:r>
        <w:rPr>
          <w:rFonts w:ascii="Calibri" w:hAnsi="Calibri"/>
          <w:b/>
          <w:i w:val="0"/>
          <w:color w:val="A87BC7"/>
          <w:sz w:val="29"/>
        </w:rPr>
        <w:t>B2 Reading and Use of English · Content Engine</w:t>
      </w:r>
    </w:p>
    <w:p>
      <w:pPr>
        <w:spacing w:before="480"/>
        <w:jc w:val="center"/>
      </w:pPr>
      <w:r>
        <w:rPr>
          <w:rFonts w:ascii="Calibri" w:hAnsi="Calibri"/>
          <w:b w:val="0"/>
          <w:i w:val="0"/>
          <w:color w:val="222222"/>
          <w:sz w:val="22"/>
        </w:rPr>
        <w:t>Version 1.0 · 10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D7FF"/>
          </w:tcPr>
          <w:p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Purpose</w:t>
            </w:r>
          </w:p>
        </w:tc>
        <w:tc>
          <w:tcPr>
            <w:tcW w:type="dxa" w:w="5083"/>
            <w:shd w:fill="FFFFFF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Define reusable editorial families for generation of Content Briefs and RUOE texts.</w:t>
            </w:r>
          </w:p>
        </w:tc>
      </w:tr>
      <w:tr>
        <w:tc>
          <w:tcPr>
            <w:tcW w:type="dxa" w:w="5083"/>
            <w:shd w:fill="F1D7FF"/>
          </w:tcPr>
          <w:p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Source corpus</w:t>
            </w:r>
          </w:p>
        </w:tc>
        <w:tc>
          <w:tcPr>
            <w:tcW w:type="dxa" w:w="5083"/>
            <w:shd w:fill="FFFFFF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RUOE CambridgeOne sample texts supplied for style analysis.</w:t>
            </w:r>
          </w:p>
        </w:tc>
      </w:tr>
      <w:tr>
        <w:tc>
          <w:tcPr>
            <w:tcW w:type="dxa" w:w="5083"/>
            <w:shd w:fill="F1D7FF"/>
          </w:tcPr>
          <w:p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Current status</w:t>
            </w:r>
          </w:p>
        </w:tc>
        <w:tc>
          <w:tcPr>
            <w:tcW w:type="dxa" w:w="5083"/>
            <w:shd w:fill="FFFFFF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Six cards written and referenced; ready for practical pilot validation.</w:t>
            </w:r>
          </w:p>
        </w:tc>
      </w:tr>
    </w:tbl>
    <w:p>
      <w:r>
        <w:br w:type="page"/>
      </w:r>
    </w:p>
    <w:p>
      <w:pPr>
        <w:spacing w:after="100" w:line="254" w:lineRule="auto"/>
      </w:pPr>
      <w:r>
        <w:rPr>
          <w:rFonts w:ascii="Calibri" w:hAnsi="Calibri"/>
          <w:b/>
          <w:i w:val="0"/>
          <w:color w:val="734A91"/>
          <w:sz w:val="36"/>
        </w:rPr>
        <w:t>1. Operating principles</w:t>
      </w:r>
    </w:p>
    <w:p>
      <w:pPr>
        <w:spacing w:after="140" w:line="254" w:lineRule="auto"/>
      </w:pPr>
      <w:r>
        <w:rPr>
          <w:rFonts w:ascii="Calibri" w:hAnsi="Calibri"/>
          <w:b w:val="0"/>
          <w:i w:val="0"/>
          <w:color w:val="222222"/>
          <w:sz w:val="21"/>
        </w:rPr>
        <w:t>These cards describe recurring editorial mechanisms observed across authentic B2 RUOE samples. They are not templates to copy and they do not replace the structural prompt of any Part.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The Topic Bank decides the thematic raw material; the Style Card decides how that material can be shaped editorially; the Content Brief makes the specific editorial decisions for one exercise.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 Style Card must remain reusable across topics. It should define opening logic, progression, substance, voice, closing function and typical risks—not fixed facts or fixed storylines.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Parts 1, 2, 3, 5 and 6 can share a style family, but the structural prompt still controls length, item type, numbering and exam mechanics.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Part 7 uses the dedicated Multiple Profiles &amp; Testimonies family because its content must be distributed across four comparable but distinct voices/profiles.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Part 4 does not use Style Cards.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References are evidence for mechanisms only. Wording, named people, statistics and narrative details must never be copied into generated content.</w:t>
      </w:r>
    </w:p>
    <w:p>
      <w:pPr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Card fields</w:t>
      </w:r>
    </w:p>
    <w:p>
      <w:pPr>
        <w:spacing w:after="80" w:line="254" w:lineRule="auto"/>
      </w:pPr>
      <w:r>
        <w:rPr>
          <w:rFonts w:ascii="Calibri" w:hAnsi="Calibri"/>
          <w:b w:val="0"/>
          <w:i w:val="0"/>
          <w:color w:val="222222"/>
          <w:sz w:val="20"/>
        </w:rPr>
        <w:t>Each card contains the approved minimum fields: Name; What content it suits; Compatible Parts; Typical opening; Content progression; What gives it real substance; Tone/voice; Typical ending; Avoid; References used.</w:t>
      </w:r>
    </w:p>
    <w:p>
      <w:pPr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Status logic</w:t>
      </w:r>
    </w:p>
    <w:p>
      <w:pPr>
        <w:spacing w:after="80" w:line="254" w:lineRule="auto"/>
      </w:pPr>
      <w:r>
        <w:rPr>
          <w:rFonts w:ascii="Calibri" w:hAnsi="Calibri"/>
          <w:b w:val="0"/>
          <w:i w:val="0"/>
          <w:color w:val="222222"/>
          <w:sz w:val="20"/>
        </w:rPr>
        <w:t>The six cards below are complete enough to enter the pilot. They should be treated as Ready for pilot validation—not yet as empirically validated—until they have generated new Content Briefs/texts and passed human review.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i w:val="0"/>
          <w:color w:val="A87BC7"/>
          <w:sz w:val="23"/>
        </w:rPr>
        <w:t>SC-01  ·  STYLE CARD</w:t>
      </w:r>
    </w:p>
    <w:p>
      <w:pPr>
        <w:spacing w:after="80"/>
      </w:pPr>
      <w:r>
        <w:rPr>
          <w:rFonts w:ascii="Calibri" w:hAnsi="Calibri"/>
          <w:b/>
          <w:i w:val="0"/>
          <w:color w:val="734A91"/>
          <w:sz w:val="36"/>
        </w:rPr>
        <w:t>Curiosity &amp; Explanatory Article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1D7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STATUS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Ready for pilot validation</w:t>
            </w:r>
          </w:p>
        </w:tc>
        <w:tc>
          <w:tcPr>
            <w:tcW w:type="dxa" w:w="3389"/>
            <w:shd w:fill="E0B0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LANGUAGE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British English</w:t>
            </w:r>
          </w:p>
        </w:tc>
        <w:tc>
          <w:tcPr>
            <w:tcW w:type="dxa" w:w="3389"/>
            <w:shd w:fill="F1D7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LEVEL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CEFR B2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top"/>
            <w:shd w:fill="F1D7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What content it suits</w:t>
            </w:r>
          </w:p>
        </w:tc>
        <w:tc>
          <w:tcPr>
            <w:tcW w:type="dxa" w:w="5083"/>
            <w:vAlign w:val="top"/>
            <w:shd w:fill="FFFF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Questions, phenomena, behaviours, natural/scientific curiosities and everyday mechanisms that can be explained clearly without becoming academic.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top"/>
            <w:shd w:fill="F1D7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Compatible Parts</w:t>
            </w:r>
          </w:p>
        </w:tc>
        <w:tc>
          <w:tcPr>
            <w:tcW w:type="dxa" w:w="5083"/>
            <w:vAlign w:val="top"/>
            <w:shd w:fill="FFFF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Parts 1, 2, 3, 5 and 6.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Typical opening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Begin with a familiar observation, surprising fact, accessible question or apparent contradiction.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Create an immediate knowledge gap: the reader should understand what is interesting before receiving the explanation.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Avoid opening with a dry definition unless the definition itself is surprising or necessary.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Content progression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Move from the familiar phenomenon to the underlying explanation.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Introduce one or more concrete examples, mechanisms, observations or pieces of evidence.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Where useful, present an initial assumption and then refine, complicate or correct it.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Build paragraphs so each one answers a new part of the reader’s implicit question rather than restating the same idea.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For short Parts 1–3, compress this into a miniature arc: hook → explanation → one concrete development → meaningful closing point.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What gives it real substance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 precise phenomenon rather than a broad theme.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Specific mechanisms, causes, consequences or contrasts.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Concrete examples that make the explanation memorable.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Careful factuality: plausible general explanations are acceptable, but invented studies, institutions, statistics or quotations are not.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Tone / voice</w:t>
      </w:r>
    </w:p>
    <w:p>
      <w:pPr>
        <w:spacing w:after="80" w:line="254" w:lineRule="auto"/>
      </w:pPr>
      <w:r>
        <w:rPr>
          <w:rFonts w:ascii="Calibri" w:hAnsi="Calibri"/>
          <w:b w:val="0"/>
          <w:i w:val="0"/>
          <w:color w:val="222222"/>
          <w:sz w:val="20"/>
        </w:rPr>
        <w:t>Accessible, intelligent and curious. Neutral-to-engaged rather than textbook-like. The writer sounds interested in explaining something to a general reader, not lecturing them.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Typical ending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Close by resolving the initial curiosity, revealing a wider implication, or showing why the phenomenon matters.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An effective final sentence may slightly broaden the perspective, but should not become generic advice or a moral.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Avoid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Encyclopaedia-style lists of facts with no progression.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Overloading the text with technical terminology.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Generic openings such as 'Nowadays, X is very important'.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Unsupported claims presented as research findings.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Repeating the same explanatory point in different wording.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Turning an explanation into self-help.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References used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5.2 — Birth order – does it make any difference?. </w:t>
      </w:r>
      <w:r>
        <w:rPr>
          <w:rFonts w:ascii="Calibri" w:hAnsi="Calibri"/>
          <w:b w:val="0"/>
          <w:i w:val="0"/>
          <w:color w:val="222222"/>
          <w:sz w:val="20"/>
        </w:rPr>
        <w:t>Strong model of question-led explanation, competing ideas, evidence and a conclusion that remains intellectually open rather than simplistic.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2.2 — Amazing fungi!. </w:t>
      </w:r>
      <w:r>
        <w:rPr>
          <w:rFonts w:ascii="Calibri" w:hAnsi="Calibri"/>
          <w:b w:val="0"/>
          <w:i w:val="0"/>
          <w:color w:val="222222"/>
          <w:sz w:val="20"/>
        </w:rPr>
        <w:t>Compact curiosity-led explanation: familiar object → hidden reality → striking example → current area of interest.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3.2 — The grass-eating shark. </w:t>
      </w:r>
      <w:r>
        <w:rPr>
          <w:rFonts w:ascii="Calibri" w:hAnsi="Calibri"/>
          <w:b w:val="0"/>
          <w:i w:val="0"/>
          <w:color w:val="222222"/>
          <w:sz w:val="20"/>
        </w:rPr>
        <w:t>Uses a surprising natural phenomenon, competing explanations and concrete biological detail to sustain curiosity.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  <w:tcBorders>
              <w:left w:val="single" w:sz="16" w:color="734A91"/>
            </w:tcBorders>
          </w:tcPr>
          <w:p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ENGINE NOTE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the card to shape the editorial arc only. Any statistics, studies or factual claims in a generated brief must be verifiable or deliberately framed as non-specific/plausible rather than invented.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i w:val="0"/>
          <w:color w:val="A87BC7"/>
          <w:sz w:val="23"/>
        </w:rPr>
        <w:t>SC-02  ·  STYLE CARD</w:t>
      </w:r>
    </w:p>
    <w:p>
      <w:pPr>
        <w:spacing w:after="80"/>
      </w:pPr>
      <w:r>
        <w:rPr>
          <w:rFonts w:ascii="Calibri" w:hAnsi="Calibri"/>
          <w:b/>
          <w:i w:val="0"/>
          <w:color w:val="734A91"/>
          <w:sz w:val="36"/>
        </w:rPr>
        <w:t>Trend &amp; Social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1D7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STATUS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Ready for pilot validation</w:t>
            </w:r>
          </w:p>
        </w:tc>
        <w:tc>
          <w:tcPr>
            <w:tcW w:type="dxa" w:w="3389"/>
            <w:shd w:fill="E0B0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LANGUAGE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British English</w:t>
            </w:r>
          </w:p>
        </w:tc>
        <w:tc>
          <w:tcPr>
            <w:tcW w:type="dxa" w:w="3389"/>
            <w:shd w:fill="F1D7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LEVEL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CEFR B2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top"/>
            <w:shd w:fill="F1D7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What content it suits</w:t>
            </w:r>
          </w:p>
        </w:tc>
        <w:tc>
          <w:tcPr>
            <w:tcW w:type="dxa" w:w="5083"/>
            <w:vAlign w:val="top"/>
            <w:shd w:fill="FFFF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Changes in habits, technology, work, education, environment, leisure or social behaviour where the interest comes from what is changing, why it is changing and what effects or tensions follow.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top"/>
            <w:shd w:fill="F1D7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Compatible Parts</w:t>
            </w:r>
          </w:p>
        </w:tc>
        <w:tc>
          <w:tcPr>
            <w:tcW w:type="dxa" w:w="5083"/>
            <w:vAlign w:val="top"/>
            <w:shd w:fill="FFFF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Parts 1, 2, 3, 5 and 6.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Typical opening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Start from a recognisable change, emerging practice, new concern or contrast between past and present.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Show the social relevance immediately: what people are doing differently, what is becoming common, or what problem is attracting attention.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The opening can use a concrete scene or example before widening to the trend.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Content progression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Establish the trend or change clearly.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Explain drivers, motivations or conditions behind it.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Develop consequences, benefits, drawbacks or different reactions.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Add one or two concrete cases, settings or stakeholder perspectives to prevent abstraction.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End with an implication, unresolved tension or realistic direction of travel rather than a sweeping prediction.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What gives it real substance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Observable change over time or contrast between groups/contexts.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Specific behaviours and consequences, not vague claims about 'society'.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Balanced tensions: convenience vs cost, innovation vs unintended effect, popularity vs drawback, etc.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Concrete examples that make the trend visible at human scale.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Tone / voice</w:t>
      </w:r>
    </w:p>
    <w:p>
      <w:pPr>
        <w:spacing w:after="80" w:line="254" w:lineRule="auto"/>
      </w:pPr>
      <w:r>
        <w:rPr>
          <w:rFonts w:ascii="Calibri" w:hAnsi="Calibri"/>
          <w:b w:val="0"/>
          <w:i w:val="0"/>
          <w:color w:val="222222"/>
          <w:sz w:val="20"/>
        </w:rPr>
        <w:t>Magazine/reporting voice: informed, current-feeling and readable. Balanced rather than promotional or alarmist. May include mild interpretive commentary while remaining grounded.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Typical ending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Close on what the trend means in practice, what remains uncertain, or how people/institutions are adapting.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Avoid absolute predictions. A small unresolved question or tension often works better.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Avoid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Invented percentages or surveys merely to make the text sound authoritative.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Technology-is-good / technology-is-bad simplifications.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Trend pieces with no people, settings or consequences.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Overusing 'more and more people' without showing what has actually changed.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Journalistic sensationalism or moral panic.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References used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6.2 — Mini forests. </w:t>
      </w:r>
      <w:r>
        <w:rPr>
          <w:rFonts w:ascii="Calibri" w:hAnsi="Calibri"/>
          <w:b w:val="0"/>
          <w:i w:val="0"/>
          <w:color w:val="222222"/>
          <w:sz w:val="20"/>
        </w:rPr>
        <w:t>A social/environmental innovation presented through concept, practical implementation, community relevance and wider benefits.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5.2 — Birth order – does it make any difference?. </w:t>
      </w:r>
      <w:r>
        <w:rPr>
          <w:rFonts w:ascii="Calibri" w:hAnsi="Calibri"/>
          <w:b w:val="0"/>
          <w:i w:val="0"/>
          <w:color w:val="222222"/>
          <w:sz w:val="20"/>
        </w:rPr>
        <w:t>Useful for showing how established social beliefs can be tested and revised through newer evidence.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1.2 — Breaking bad habits. </w:t>
      </w:r>
      <w:r>
        <w:rPr>
          <w:rFonts w:ascii="Calibri" w:hAnsi="Calibri"/>
          <w:b w:val="0"/>
          <w:i w:val="0"/>
          <w:color w:val="222222"/>
          <w:sz w:val="20"/>
        </w:rPr>
        <w:t>Compact social/behavioural explanation built around a common assumption, expert perspective and practical implication.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  <w:tcBorders>
              <w:left w:val="single" w:sz="16" w:color="734A91"/>
            </w:tcBorders>
          </w:tcPr>
          <w:p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ENGINE NOTE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card does not require 'news'. A trend can be long-running or emerging; what matters is a clear pattern of change plus consequences. The Topic Bank supplies the domain; the Content Brief decides the specific angle.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i w:val="0"/>
          <w:color w:val="A87BC7"/>
          <w:sz w:val="23"/>
        </w:rPr>
        <w:t>SC-03  ·  STYLE CARD</w:t>
      </w:r>
    </w:p>
    <w:p>
      <w:pPr>
        <w:spacing w:after="80"/>
      </w:pPr>
      <w:r>
        <w:rPr>
          <w:rFonts w:ascii="Calibri" w:hAnsi="Calibri"/>
          <w:b/>
          <w:i w:val="0"/>
          <w:color w:val="734A91"/>
          <w:sz w:val="36"/>
        </w:rPr>
        <w:t>Personal Reflective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1D7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STATUS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Ready for pilot validation</w:t>
            </w:r>
          </w:p>
        </w:tc>
        <w:tc>
          <w:tcPr>
            <w:tcW w:type="dxa" w:w="3389"/>
            <w:shd w:fill="E0B0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LANGUAGE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British English</w:t>
            </w:r>
          </w:p>
        </w:tc>
        <w:tc>
          <w:tcPr>
            <w:tcW w:type="dxa" w:w="3389"/>
            <w:shd w:fill="F1D7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LEVEL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CEFR B2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top"/>
            <w:shd w:fill="F1D7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What content it suits</w:t>
            </w:r>
          </w:p>
        </w:tc>
        <w:tc>
          <w:tcPr>
            <w:tcW w:type="dxa" w:w="5083"/>
            <w:vAlign w:val="top"/>
            <w:shd w:fill="FFFF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First-person experiences in which the value comes from a change in understanding, a decision, an unexpected difficulty, a discovered preference or a personal reinterpretation of something familiar.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top"/>
            <w:shd w:fill="F1D7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Compatible Parts</w:t>
            </w:r>
          </w:p>
        </w:tc>
        <w:tc>
          <w:tcPr>
            <w:tcW w:type="dxa" w:w="5083"/>
            <w:vAlign w:val="top"/>
            <w:shd w:fill="FFFF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Parts 1, 2, 3, 5 and 6.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Typical opening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Open from a personal situation, habit, expectation or decision that gives the reader a concrete starting point.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Signal the narrator’s attitude early, but leave room for that attitude to change.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Small personal details are preferable to a generic autobiographical introduction.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Content progression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Set up the narrator’s initial expectation or normal behaviour.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Introduce an experience, obstacle, discovery or contradiction.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Show the narrator reacting, adapting or reassessing.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Use concrete episodes rather than summarising the whole experience abstractly.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Finish with what changed in the narrator’s view, behaviour or sense of value.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What gives it real substance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Specific moments, choices, frustrations, surprises and sensory or situational detail.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 clear before/after contrast in perspective.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Self-awareness: the narrator can admit uncertainty, embarrassment, mistaken assumptions or mixed feelings.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Reflection should grow out of events; it should not be pasted on as a life lesson.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Tone / voice</w:t>
      </w:r>
    </w:p>
    <w:p>
      <w:pPr>
        <w:spacing w:after="80" w:line="254" w:lineRule="auto"/>
      </w:pPr>
      <w:r>
        <w:rPr>
          <w:rFonts w:ascii="Calibri" w:hAnsi="Calibri"/>
          <w:b w:val="0"/>
          <w:i w:val="0"/>
          <w:color w:val="222222"/>
          <w:sz w:val="20"/>
        </w:rPr>
        <w:t>Natural first-person magazine voice. Conversational but controlled; reflective without sounding therapeutic. Light humour, self-deprecation and small asides are welcome when natural.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Typical ending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Close on a changed perspective, earned satisfaction, lingering question or concrete intention.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The ending should feel specific to the experience, not like a universal motivational slogan.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Avoid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Generic 'this taught me to never give up' morals.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Chronological diary-style listing with no change in perspective.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Overdramatic emotional language.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Perfect narrators who never make mistakes or reconsider anything.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Reflection that is not supported by concrete events.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References used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5.1 — My book collection. </w:t>
      </w:r>
      <w:r>
        <w:rPr>
          <w:rFonts w:ascii="Calibri" w:hAnsi="Calibri"/>
          <w:b w:val="0"/>
          <w:i w:val="0"/>
          <w:color w:val="222222"/>
          <w:sz w:val="20"/>
        </w:rPr>
        <w:t>Excellent reflective arc: attachment → embarrassment/problem → attempted solution → rediscovery → more nuanced understanding of self and others.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5.5 — My first summer job. </w:t>
      </w:r>
      <w:r>
        <w:rPr>
          <w:rFonts w:ascii="Calibri" w:hAnsi="Calibri"/>
          <w:b w:val="0"/>
          <w:i w:val="0"/>
          <w:color w:val="222222"/>
          <w:sz w:val="20"/>
        </w:rPr>
        <w:t>Expectation versus reality, several concrete episodes, adaptation and a final moment where the narrator discovers a genuine strength.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6.6 — The wild attraction of competitive fell running. </w:t>
      </w:r>
      <w:r>
        <w:rPr>
          <w:rFonts w:ascii="Calibri" w:hAnsi="Calibri"/>
          <w:b w:val="0"/>
          <w:i w:val="0"/>
          <w:color w:val="222222"/>
          <w:sz w:val="20"/>
        </w:rPr>
        <w:t>Personal entry point, remembered first encounter, development into commitment and an explicit but experience-based explanation of why the activity matters.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  <w:tcBorders>
              <w:left w:val="single" w:sz="16" w:color="734A91"/>
            </w:tcBorders>
          </w:tcPr>
          <w:p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ENGINE NOTE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For Parts 1–3, keep the narrator and change-of-perspective mechanism but reduce the number of episodes. For Part 6, the progression must also provide strong discourse links between paragraphs for the structural prompt to exploit.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i w:val="0"/>
          <w:color w:val="A87BC7"/>
          <w:sz w:val="23"/>
        </w:rPr>
        <w:t>SC-04  ·  STYLE CARD</w:t>
      </w:r>
    </w:p>
    <w:p>
      <w:pPr>
        <w:spacing w:after="80"/>
      </w:pPr>
      <w:r>
        <w:rPr>
          <w:rFonts w:ascii="Calibri" w:hAnsi="Calibri"/>
          <w:b/>
          <w:i w:val="0"/>
          <w:color w:val="734A91"/>
          <w:sz w:val="36"/>
        </w:rPr>
        <w:t>Narrative 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1D7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STATUS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Ready for pilot validation</w:t>
            </w:r>
          </w:p>
        </w:tc>
        <w:tc>
          <w:tcPr>
            <w:tcW w:type="dxa" w:w="3389"/>
            <w:shd w:fill="E0B0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LANGUAGE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British English</w:t>
            </w:r>
          </w:p>
        </w:tc>
        <w:tc>
          <w:tcPr>
            <w:tcW w:type="dxa" w:w="3389"/>
            <w:shd w:fill="F1D7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LEVEL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CEFR B2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top"/>
            <w:shd w:fill="F1D7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What content it suits</w:t>
            </w:r>
          </w:p>
        </w:tc>
        <w:tc>
          <w:tcPr>
            <w:tcW w:type="dxa" w:w="5083"/>
            <w:vAlign w:val="top"/>
            <w:shd w:fill="FFFF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Character-centred stories, biographical episodes and narrative extracts where events reveal personality, conflict, motivation or change. The emphasis is on scene, action and consequence rather than explanation.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top"/>
            <w:shd w:fill="F1D7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Compatible Parts</w:t>
            </w:r>
          </w:p>
        </w:tc>
        <w:tc>
          <w:tcPr>
            <w:tcW w:type="dxa" w:w="5083"/>
            <w:vAlign w:val="top"/>
            <w:shd w:fill="FFFF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Parts 1, 2, 3, 5 and 6.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Typical opening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Enter through a scene, action, concrete setting or character detail rather than background exposition.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Establish who matters, where we are and what kind of tension or desire is present.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Use selective detail that hints at character before explaining it explicitly.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Content progression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Move through causally connected events rather than a list of facts.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Reveal character through decisions, reactions, dialogue, objects and contrasts.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Introduce a complication, obstacle, discovery or turning point.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Allow earlier details to acquire significance later.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End with consequence, changed situation, revealing reaction or a meaningful unresolved note.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What gives it real substance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Specific physical setting and purposeful details.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Character motivation and viewpoint.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Cause-and-effect between events.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Small tensions, contrasts or setbacks that create forward movement.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For biographical narrative, select only episodes that contribute to the central arc.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Tone / voice</w:t>
      </w:r>
    </w:p>
    <w:p>
      <w:pPr>
        <w:spacing w:after="80" w:line="254" w:lineRule="auto"/>
      </w:pPr>
      <w:r>
        <w:rPr>
          <w:rFonts w:ascii="Calibri" w:hAnsi="Calibri"/>
          <w:b w:val="0"/>
          <w:i w:val="0"/>
          <w:color w:val="222222"/>
          <w:sz w:val="20"/>
        </w:rPr>
        <w:t>Immersive but B2-accessible. Concrete, economical and observant. Dialogue or interior judgement can be used sparingly. Description supports character/action rather than becoming ornamental.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Typical ending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Close on a consequence or character-revealing moment rather than summarising the story.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In shorter narrative-biographical texts, the ending can show the resulting career/state, provided the route to it has been developed.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Avoid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Backstory dumps before anything happens.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Too many named characters or subplots.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Artificial cliffhangers.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Decorative description with no narrative function.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Events that happen randomly without affecting the character.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Highly literary C1/C2 prose or difficult figurative density.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References used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5.3 — Roy Mason / beach-hut novel extract. </w:t>
      </w:r>
      <w:r>
        <w:rPr>
          <w:rFonts w:ascii="Calibri" w:hAnsi="Calibri"/>
          <w:b w:val="0"/>
          <w:i w:val="0"/>
          <w:color w:val="222222"/>
          <w:sz w:val="20"/>
        </w:rPr>
        <w:t>Strong scene-led narrative voice: setting, objects and reactions reveal Roy’s values without explanatory exposition.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1.4 — Adriano Spano’s story. </w:t>
      </w:r>
      <w:r>
        <w:rPr>
          <w:rFonts w:ascii="Calibri" w:hAnsi="Calibri"/>
          <w:b w:val="0"/>
          <w:i w:val="0"/>
          <w:color w:val="222222"/>
          <w:sz w:val="20"/>
        </w:rPr>
        <w:t>Compressed biographical narrative built around desire, training, career movement and fulfilment of a long-held ambition.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3.6 — A happy and successful chef. </w:t>
      </w:r>
      <w:r>
        <w:rPr>
          <w:rFonts w:ascii="Calibri" w:hAnsi="Calibri"/>
          <w:b w:val="0"/>
          <w:i w:val="0"/>
          <w:color w:val="222222"/>
          <w:sz w:val="20"/>
        </w:rPr>
        <w:t>First-person career narrative with early motivation, obstacles, resourcefulness and a concrete outcome.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  <w:tcBorders>
              <w:left w:val="single" w:sz="16" w:color="734A91"/>
            </w:tcBorders>
          </w:tcPr>
          <w:p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ENGINE NOTE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This family is not an invitation to create fiction in every Part. It covers both fictional narrative and factual/plausible biographical storytelling. The Content Brief determines the factuality level.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i w:val="0"/>
          <w:color w:val="A87BC7"/>
          <w:sz w:val="23"/>
        </w:rPr>
        <w:t>SC-05  ·  STYLE CARD</w:t>
      </w:r>
    </w:p>
    <w:p>
      <w:pPr>
        <w:spacing w:after="80"/>
      </w:pPr>
      <w:r>
        <w:rPr>
          <w:rFonts w:ascii="Calibri" w:hAnsi="Calibri"/>
          <w:b/>
          <w:i w:val="0"/>
          <w:color w:val="734A91"/>
          <w:sz w:val="36"/>
        </w:rPr>
        <w:t>Culture, Travel &amp; Community Feature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1D7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STATUS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Ready for pilot validation</w:t>
            </w:r>
          </w:p>
        </w:tc>
        <w:tc>
          <w:tcPr>
            <w:tcW w:type="dxa" w:w="3389"/>
            <w:shd w:fill="E0B0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LANGUAGE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British English</w:t>
            </w:r>
          </w:p>
        </w:tc>
        <w:tc>
          <w:tcPr>
            <w:tcW w:type="dxa" w:w="3389"/>
            <w:shd w:fill="F1D7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LEVEL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CEFR B2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top"/>
            <w:shd w:fill="F1D7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What content it suits</w:t>
            </w:r>
          </w:p>
        </w:tc>
        <w:tc>
          <w:tcPr>
            <w:tcW w:type="dxa" w:w="5083"/>
            <w:vAlign w:val="top"/>
            <w:shd w:fill="FFFF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Places, local practices, cultural activities, heritage, travel experiences, communities and outdoor pursuits where the setting is an active part of the content rather than a decorative backdrop.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top"/>
            <w:shd w:fill="F1D7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Compatible Parts</w:t>
            </w:r>
          </w:p>
        </w:tc>
        <w:tc>
          <w:tcPr>
            <w:tcW w:type="dxa" w:w="5083"/>
            <w:vAlign w:val="top"/>
            <w:shd w:fill="FFFF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Parts 1, 2, 3, 5 and 6.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Typical opening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Anchor the reader quickly in a place, local activity, landmark or distinctive community practice.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Use one concrete feature—landscape, ritual, object, event or local behaviour—to make the setting immediate.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Where personal voice is used, connect the narrator’s reason for being there to the place itself.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Content progression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Move from orientation to discovery: where/what → distinctive features → people or activity → meaning/impact.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Let the physical or cultural setting shape what happens rather than merely hosting unrelated content.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Combine descriptive detail with explanation, experience or community context.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Where appropriate, contrast visitor expectation with local reality or past with present.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What gives it real substance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Place-specific details that could not simply be transplanted to any location.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Local practices, landscape, heritage, community relationships or practical constraints.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 human reason to care: identity, belonging, discovery, preservation, challenge, enjoyment or change.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Concrete details over tourist-brochure adjectives.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Tone / voice</w:t>
      </w:r>
    </w:p>
    <w:p>
      <w:pPr>
        <w:spacing w:after="80" w:line="254" w:lineRule="auto"/>
      </w:pPr>
      <w:r>
        <w:rPr>
          <w:rFonts w:ascii="Calibri" w:hAnsi="Calibri"/>
          <w:b w:val="0"/>
          <w:i w:val="0"/>
          <w:color w:val="222222"/>
          <w:sz w:val="20"/>
        </w:rPr>
        <w:t>Warm, observant feature-writing. Curious and respectful. Can be first-person or third-person. Descriptive passages remain controlled and functional at B2.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Typical ending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Close by returning to the value of the place/activity, a changed perception, a community implication or a vivid final experience.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Avoid generic 'everyone should visit' conclusions.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Avoid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Tourist-brochure language and strings of superlatives.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Generic travel descriptions that could describe anywhere.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Reducing cultures or communities to stereotypes.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Inventing heritage claims or local facts.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Description without progression or human relevance.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References used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6.1 — Touring round artworks – by bike!. </w:t>
      </w:r>
      <w:r>
        <w:rPr>
          <w:rFonts w:ascii="Calibri" w:hAnsi="Calibri"/>
          <w:b w:val="0"/>
          <w:i w:val="0"/>
          <w:color w:val="222222"/>
          <w:sz w:val="20"/>
        </w:rPr>
        <w:t>Integrates travel/activity, landscape and public art so each location changes the experience and the writer’s interpretation.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6.6 — The wild attraction of competitive fell running. </w:t>
      </w:r>
      <w:r>
        <w:rPr>
          <w:rFonts w:ascii="Calibri" w:hAnsi="Calibri"/>
          <w:b w:val="0"/>
          <w:i w:val="0"/>
          <w:color w:val="222222"/>
          <w:sz w:val="20"/>
        </w:rPr>
        <w:t>The activity is inseparable from northern English landscape, local tradition, weather and community organisation.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2.6 — A famous landmark in Australia / Uluru. </w:t>
      </w:r>
      <w:r>
        <w:rPr>
          <w:rFonts w:ascii="Calibri" w:hAnsi="Calibri"/>
          <w:b w:val="0"/>
          <w:i w:val="0"/>
          <w:color w:val="222222"/>
          <w:sz w:val="20"/>
        </w:rPr>
        <w:t>Compact place-based text combining location, physical features, indigenous significance and current visitor behaviour.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  <w:tcBorders>
              <w:left w:val="single" w:sz="16" w:color="734A91"/>
            </w:tcBorders>
          </w:tcPr>
          <w:p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ENGINE NOTE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culture/travel/community brief should specify what makes the setting functionally important. If the same text would work unchanged after swapping the place name, the brief is too generic.</w:t>
            </w:r>
          </w:p>
        </w:tc>
      </w:tr>
    </w:tbl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i w:val="0"/>
          <w:color w:val="A87BC7"/>
          <w:sz w:val="23"/>
        </w:rPr>
        <w:t>SC-06  ·  STYLE CARD</w:t>
      </w:r>
    </w:p>
    <w:p>
      <w:pPr>
        <w:spacing w:after="80"/>
      </w:pPr>
      <w:r>
        <w:rPr>
          <w:rFonts w:ascii="Calibri" w:hAnsi="Calibri"/>
          <w:b/>
          <w:i w:val="0"/>
          <w:color w:val="734A91"/>
          <w:sz w:val="36"/>
        </w:rPr>
        <w:t>Multiple Profiles &amp; Testimonies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1D7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STATUS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Ready for pilot validation</w:t>
            </w:r>
          </w:p>
        </w:tc>
        <w:tc>
          <w:tcPr>
            <w:tcW w:type="dxa" w:w="3389"/>
            <w:shd w:fill="E0B0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LANGUAGE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British English</w:t>
            </w:r>
          </w:p>
        </w:tc>
        <w:tc>
          <w:tcPr>
            <w:tcW w:type="dxa" w:w="3389"/>
            <w:shd w:fill="F1D7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34A91"/>
                <w:sz w:val="17"/>
              </w:rPr>
              <w:t>LEVEL</w:t>
              <w:br/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CEFR B2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top"/>
            <w:shd w:fill="F1D7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What content it suits</w:t>
            </w:r>
          </w:p>
        </w:tc>
        <w:tc>
          <w:tcPr>
            <w:tcW w:type="dxa" w:w="5083"/>
            <w:vAlign w:val="top"/>
            <w:shd w:fill="FFFF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Part 7 content built from four people/profiles who share a common theme but differ in experience, attitude, motivation, difficulty, response or outcome.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c>
          <w:tcPr>
            <w:tcW w:type="dxa" w:w="5083"/>
            <w:vAlign w:val="top"/>
            <w:shd w:fill="F1D7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Compatible Parts</w:t>
            </w:r>
          </w:p>
        </w:tc>
        <w:tc>
          <w:tcPr>
            <w:tcW w:type="dxa" w:w="5083"/>
            <w:vAlign w:val="top"/>
            <w:shd w:fill="FFFFFF"/>
            <w:tcBorders>
              <w:bottom w:val="single" w:sz="5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Part 7.</w:t>
            </w:r>
          </w:p>
        </w:tc>
      </w:tr>
    </w:tbl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Typical opening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Use a concise shared frame or title that makes the comparison domain clear.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Each profile should enter quickly through a distinctive personal fact, attitude, episode or problem rather than repeating the shared topic.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Profiles do not need identical openings; controlled variation helps voice differentiation.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Content progression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Give each profile a self-contained mini-arc with 2–4 comparable dimensions.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Distribute overlapping concepts across profiles so questions require discrimination rather than keyword spotting.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Make some profiles share surface similarities while differing in cause, attitude, timing, motivation or consequence.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Ensure every profile contains multiple examinable ideas and that no single profile becomes obviously richer than the others.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Across the set, vary the order in which comparable dimensions appear.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What gives it real substance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Concrete episodes and decisions unique to each person.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Distinctive attitude and evaluative language.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Comparable dimensions: expectations, obstacles, reactions, benefits, regrets, motivation, change, advice, relationships or outcomes.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Paraphrasable evidence: the question wording should not merely repeat the profile’s key words.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Tone / voice</w:t>
      </w:r>
    </w:p>
    <w:p>
      <w:pPr>
        <w:spacing w:after="80" w:line="254" w:lineRule="auto"/>
      </w:pPr>
      <w:r>
        <w:rPr>
          <w:rFonts w:ascii="Calibri" w:hAnsi="Calibri"/>
          <w:b w:val="0"/>
          <w:i w:val="0"/>
          <w:color w:val="222222"/>
          <w:sz w:val="20"/>
        </w:rPr>
        <w:t>Natural, differentiated voices. First person works especially well, but third-person mini-profiles are also valid. Each person should sound plausible without exaggerated dialect or caricature.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Typical ending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Each profile should end on its own meaningful state: outcome, current view, consequence, reflection or next step.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Avoid giving all four profiles the same rhetorical ending or identical 'now I...' structure.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Avoid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Four versions of the same story with names changed.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One profile containing nearly all the strong examinable material.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Obvious lexical matching between question and answer.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Artificially forcing every profile through the same paragraph template.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Voices differentiated only by superficial hobbies or demographic labels.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Contradictory or insufficient evidence for the matching questions.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References used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7.1 — Four people describe how they turned their hobbies into new careers. </w:t>
      </w:r>
      <w:r>
        <w:rPr>
          <w:rFonts w:ascii="Calibri" w:hAnsi="Calibri"/>
          <w:b w:val="0"/>
          <w:i w:val="0"/>
          <w:color w:val="222222"/>
          <w:sz w:val="20"/>
        </w:rPr>
        <w:t>Excellent comparison set: common transformation theme, but different triggers, obstacles, confidence levels, commercial decisions and skill development.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7.6 — What was university like for you?. </w:t>
      </w:r>
      <w:r>
        <w:rPr>
          <w:rFonts w:ascii="Calibri" w:hAnsi="Calibri"/>
          <w:b w:val="0"/>
          <w:i w:val="0"/>
          <w:color w:val="222222"/>
          <w:sz w:val="20"/>
        </w:rPr>
        <w:t>Strong differentiated voices with overlapping dimensions—money, study, career, identity and mistakes—distributed in different combinations.</w:t>
      </w:r>
    </w:p>
    <w:p>
      <w:pPr>
        <w:spacing w:after="60"/>
      </w:pPr>
      <w:r>
        <w:rPr>
          <w:rFonts w:ascii="Calibri" w:hAnsi="Calibri"/>
          <w:b/>
          <w:i w:val="0"/>
          <w:color w:val="734A91"/>
          <w:sz w:val="20"/>
        </w:rPr>
        <w:t xml:space="preserve">7.5 — Four rising stars. </w:t>
      </w:r>
      <w:r>
        <w:rPr>
          <w:rFonts w:ascii="Calibri" w:hAnsi="Calibri"/>
          <w:b w:val="0"/>
          <w:i w:val="0"/>
          <w:color w:val="222222"/>
          <w:sz w:val="20"/>
        </w:rPr>
        <w:t>Demonstrates third-person/quoted mini-profiles with distinct developmental paths, setbacks, expectations and chance opportunities.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FF"/>
            <w:tcBorders>
              <w:left w:val="single" w:sz="16" w:color="734A91"/>
            </w:tcBorders>
          </w:tcPr>
          <w:p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ENGINE NOTE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Part 7 requires this family because the content itself must be architected for cross-profile matching. The Content Brief should explicitly plan comparable dimensions and differentiation before the structural prompt writes the ten questions.</w:t>
            </w:r>
          </w:p>
        </w:tc>
      </w:tr>
    </w:tbl>
    <w:p>
      <w:r>
        <w:br w:type="page"/>
      </w:r>
    </w:p>
    <w:p>
      <w:pPr>
        <w:keepNext/>
        <w:spacing w:after="100" w:line="254" w:lineRule="auto"/>
      </w:pPr>
      <w:r>
        <w:rPr>
          <w:rFonts w:ascii="Calibri" w:hAnsi="Calibri"/>
          <w:b/>
          <w:i w:val="0"/>
          <w:color w:val="734A91"/>
          <w:sz w:val="36"/>
        </w:rPr>
        <w:t>8. Pilot validation checklist</w:t>
      </w:r>
    </w:p>
    <w:p>
      <w:pPr>
        <w:spacing w:after="120" w:line="254" w:lineRule="auto"/>
      </w:pPr>
      <w:r>
        <w:rPr>
          <w:rFonts w:ascii="Calibri" w:hAnsi="Calibri"/>
          <w:b w:val="0"/>
          <w:i w:val="0"/>
          <w:color w:val="222222"/>
          <w:sz w:val="21"/>
        </w:rPr>
        <w:t>These cards are now written and referenced. The remaining step is practical validation with new DRALO content—not further theoretical expansion.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Generate at least two new Content Briefs from each Style Card using different Topic Bank entries.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Check whether the generated briefs are recognisably different across Style Cards even when topics are similar.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Check whether each card creates enough substance without forcing invented facts.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Check whether Parts 1–3 can compress the style naturally without sounding formulaic.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Check whether Parts 5–6 retain strong paragraph progression and support the construct of the Part.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For SC-06, verify that four profiles are differentiated yet comparable and that matching questions can be paraphrased without keyword dependence.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Record Keep / Change / Add / Remove / Do not feedback and revise only where the pilot exposes a repeatable problem.</w:t>
      </w:r>
    </w:p>
    <w:p>
      <w:pPr>
        <w:keepNext/>
        <w:spacing w:before="140" w:after="60"/>
      </w:pPr>
      <w:r>
        <w:rPr>
          <w:rFonts w:ascii="Calibri" w:hAnsi="Calibri"/>
          <w:b/>
          <w:i w:val="0"/>
          <w:color w:val="A87BC7"/>
          <w:sz w:val="29"/>
        </w:rPr>
        <w:t>Recommended status after this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D7FF"/>
          </w:tcPr>
          <w:p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Structure of Style Cards</w:t>
            </w:r>
          </w:p>
        </w:tc>
        <w:tc>
          <w:tcPr>
            <w:tcW w:type="dxa" w:w="5083"/>
            <w:shd w:fill="FFFFFF"/>
          </w:tcPr>
          <w:p>
            <w:r>
              <w:rPr>
                <w:rFonts w:ascii="Calibri" w:hAnsi="Calibri"/>
                <w:b/>
                <w:i w:val="0"/>
                <w:color w:val="A87BC7"/>
                <w:sz w:val="20"/>
              </w:rPr>
              <w:t>Approved</w:t>
            </w:r>
          </w:p>
        </w:tc>
      </w:tr>
      <w:tr>
        <w:tc>
          <w:tcPr>
            <w:tcW w:type="dxa" w:w="5083"/>
            <w:shd w:fill="F1D7FF"/>
          </w:tcPr>
          <w:p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Six initial families</w:t>
            </w:r>
          </w:p>
        </w:tc>
        <w:tc>
          <w:tcPr>
            <w:tcW w:type="dxa" w:w="5083"/>
            <w:shd w:fill="FFFFFF"/>
          </w:tcPr>
          <w:p>
            <w:r>
              <w:rPr>
                <w:rFonts w:ascii="Calibri" w:hAnsi="Calibri"/>
                <w:b/>
                <w:i w:val="0"/>
                <w:color w:val="A87BC7"/>
                <w:sz w:val="20"/>
              </w:rPr>
              <w:t>Approved</w:t>
            </w:r>
          </w:p>
        </w:tc>
      </w:tr>
      <w:tr>
        <w:tc>
          <w:tcPr>
            <w:tcW w:type="dxa" w:w="5083"/>
            <w:shd w:fill="F1D7FF"/>
          </w:tcPr>
          <w:p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Card wording + references</w:t>
            </w:r>
          </w:p>
        </w:tc>
        <w:tc>
          <w:tcPr>
            <w:tcW w:type="dxa" w:w="5083"/>
            <w:shd w:fill="FFFFFF"/>
          </w:tcPr>
          <w:p>
            <w:r>
              <w:rPr>
                <w:rFonts w:ascii="Calibri" w:hAnsi="Calibri"/>
                <w:b/>
                <w:i w:val="0"/>
                <w:color w:val="A87BC7"/>
                <w:sz w:val="20"/>
              </w:rPr>
              <w:t>Completed in v1.0</w:t>
            </w:r>
          </w:p>
        </w:tc>
      </w:tr>
      <w:tr>
        <w:tc>
          <w:tcPr>
            <w:tcW w:type="dxa" w:w="5083"/>
            <w:shd w:fill="F1D7FF"/>
          </w:tcPr>
          <w:p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Practical validation</w:t>
            </w:r>
          </w:p>
        </w:tc>
        <w:tc>
          <w:tcPr>
            <w:tcW w:type="dxa" w:w="5083"/>
            <w:shd w:fill="FFFFFF"/>
          </w:tcPr>
          <w:p>
            <w:r>
              <w:rPr>
                <w:rFonts w:ascii="Calibri" w:hAnsi="Calibri"/>
                <w:b/>
                <w:i w:val="0"/>
                <w:color w:val="734A91"/>
                <w:sz w:val="20"/>
              </w:rPr>
              <w:t>Pending pilot</w:t>
            </w:r>
          </w:p>
        </w:tc>
      </w:tr>
    </w:tbl>
    <w:p>
      <w:pPr>
        <w:spacing w:after="40" w:line="254" w:lineRule="auto"/>
      </w:pPr>
      <w:r>
        <w:rPr>
          <w:rFonts w:ascii="Calibri" w:hAnsi="Calibri"/>
          <w:b w:val="0"/>
          <w:i/>
          <w:color w:val="666666"/>
          <w:sz w:val="19"/>
        </w:rPr>
        <w:t>Source corpus: RUOE CAMBRIDGEONE - samples for style cards.docx. References are used to identify editorial mechanisms only; no source wording should be reproduced in generated DRALO content.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7"/>
      </w:rPr>
      <w:t>Style Cards v1.0 · Ready for pilot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734A91"/>
        <w:sz w:val="18"/>
      </w:rPr>
      <w:t>DRALO · RUOE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