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960"/>
        <w:jc w:val="center"/>
      </w:pPr>
      <w:r>
        <w:rPr>
          <w:rFonts w:ascii="Calibri" w:hAnsi="Calibri"/>
          <w:b/>
          <w:i w:val="0"/>
          <w:color w:val="A87BC7"/>
          <w:sz w:val="30"/>
        </w:rPr>
        <w:t>DRALO</w:t>
      </w:r>
    </w:p>
    <w:p>
      <w:pPr>
        <w:spacing w:after="60" w:before="0"/>
        <w:jc w:val="center"/>
      </w:pPr>
      <w:r>
        <w:rPr>
          <w:rFonts w:ascii="Calibri" w:hAnsi="Calibri"/>
          <w:b/>
          <w:i w:val="0"/>
          <w:color w:val="734A91"/>
          <w:sz w:val="44"/>
        </w:rPr>
        <w:t>CURSOR PILOT GENERATION PACK</w:t>
      </w:r>
    </w:p>
    <w:p>
      <w:pPr>
        <w:spacing w:after="100" w:before="0"/>
        <w:jc w:val="center"/>
      </w:pPr>
      <w:r>
        <w:rPr>
          <w:rFonts w:ascii="Calibri" w:hAnsi="Calibri"/>
          <w:b/>
          <w:i w:val="0"/>
          <w:color w:val="A87BC7"/>
          <w:sz w:val="32"/>
        </w:rPr>
        <w:t>RUOE · v1.1</w:t>
      </w:r>
    </w:p>
    <w:p>
      <w:pPr>
        <w:spacing w:after="300" w:before="0"/>
        <w:jc w:val="center"/>
      </w:pPr>
      <w:r>
        <w:rPr>
          <w:rFonts w:ascii="Calibri" w:hAnsi="Calibri"/>
          <w:b w:val="0"/>
          <w:i w:val="0"/>
          <w:color w:val="222222"/>
          <w:sz w:val="22"/>
        </w:rPr>
        <w:t>Dos pipelines aprobados · prueba separada antes de integración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ESTADO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READY FOR TWO-STAGE PILOT · 12 Content Briefs y 2 Transformation Blueprints con aprobación humana para generación piloto.</w:t>
            </w:r>
          </w:p>
        </w:tc>
      </w:tr>
    </w:tbl>
    <w:p>
      <w:r>
        <w:br w:type="page"/>
      </w:r>
    </w:p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1. Qué hace este pack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22222"/>
          <w:sz w:val="21"/>
        </w:rPr>
        <w:t>Este ZIP contiene todo lo necesario para que Cursor ejecute las dos pruebas de generación RUOE sin reconstruir decisiones desde conversaciones anteriores.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Fase A prueba el pipeline basado en Content Briefs: P1, P2, P3, P5, P6 y P7 de dos exámenes.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Fase B prueba el pipeline independiente de Part 4 basado en Transformation Blueprints.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Las dos fases están aprobadas, pero deben ejecutarse por separado.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La integración en un motor único se hará después de revisar los resultados de ambas.</w:t>
      </w:r>
    </w:p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2. Orden exacto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36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6552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3240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936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655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Cursor lee 01_RUNTIME/CURSOR_README_FIRST.md</w:t>
            </w:r>
          </w:p>
        </w:tc>
        <w:tc>
          <w:tcPr>
            <w:tcW w:type="dxa" w:w="3240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Obligatorio</w:t>
            </w:r>
          </w:p>
        </w:tc>
      </w:tr>
      <w:tr>
        <w:tc>
          <w:tcPr>
            <w:tcW w:type="dxa" w:w="936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6552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Ejecuta PHASE A: 12 ejercicios desde Content Briefs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Después: STOP</w:t>
            </w:r>
          </w:p>
        </w:tc>
      </w:tr>
      <w:tr>
        <w:tc>
          <w:tcPr>
            <w:tcW w:type="dxa" w:w="936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655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Revisión humana con checklist general</w:t>
            </w:r>
          </w:p>
        </w:tc>
        <w:tc>
          <w:tcPr>
            <w:tcW w:type="dxa" w:w="3240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Decidir ajustes</w:t>
            </w:r>
          </w:p>
        </w:tc>
      </w:tr>
      <w:tr>
        <w:tc>
          <w:tcPr>
            <w:tcW w:type="dxa" w:w="936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6552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 instrucción explícita, ejecutar PHASE B: 2 Part 4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Después: STOP</w:t>
            </w:r>
          </w:p>
        </w:tc>
      </w:tr>
      <w:tr>
        <w:tc>
          <w:tcPr>
            <w:tcW w:type="dxa" w:w="936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655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Revisión humana con checklist Part 4</w:t>
            </w:r>
          </w:p>
        </w:tc>
        <w:tc>
          <w:tcPr>
            <w:tcW w:type="dxa" w:w="3240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Decidir ajustes</w:t>
            </w:r>
          </w:p>
        </w:tc>
      </w:tr>
      <w:tr>
        <w:tc>
          <w:tcPr>
            <w:tcW w:type="dxa" w:w="936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6552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Solo cuando ambos pipelines estén verdes: integración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Fuera de este pack</w:t>
            </w:r>
          </w:p>
        </w:tc>
      </w:tr>
    </w:tbl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3. Qué está aprobado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608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1656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Cantidad</w:t>
            </w:r>
          </w:p>
        </w:tc>
        <w:tc>
          <w:tcPr>
            <w:tcW w:type="dxa" w:w="4464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608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Content Briefs P1/2/3/5/6/7</w:t>
            </w:r>
          </w:p>
        </w:tc>
        <w:tc>
          <w:tcPr>
            <w:tcW w:type="dxa" w:w="1656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464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Approved for Pilot Generation</w:t>
            </w:r>
          </w:p>
        </w:tc>
      </w:tr>
      <w:tr>
        <w:tc>
          <w:tcPr>
            <w:tcW w:type="dxa" w:w="4608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Transformation Blueprints P4</w:t>
            </w:r>
          </w:p>
        </w:tc>
        <w:tc>
          <w:tcPr>
            <w:tcW w:type="dxa" w:w="1656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4464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Approved for Pilot Generation</w:t>
            </w:r>
          </w:p>
        </w:tc>
      </w:tr>
      <w:tr>
        <w:tc>
          <w:tcPr>
            <w:tcW w:type="dxa" w:w="4608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Style Cards / Distribution Rules</w:t>
            </w:r>
          </w:p>
        </w:tc>
        <w:tc>
          <w:tcPr>
            <w:tcW w:type="dxa" w:w="1656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Especificaciones</w:t>
            </w:r>
          </w:p>
        </w:tc>
        <w:tc>
          <w:tcPr>
            <w:tcW w:type="dxa" w:w="4464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Definidas; el piloto todavía debe validarlas en la práctica</w:t>
            </w:r>
          </w:p>
        </w:tc>
      </w:tr>
      <w:tr>
        <w:tc>
          <w:tcPr>
            <w:tcW w:type="dxa" w:w="4608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Motor autónomo</w:t>
            </w:r>
          </w:p>
        </w:tc>
        <w:tc>
          <w:tcPr>
            <w:tcW w:type="dxa" w:w="1656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4464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 implementado / no autorizado todavía</w:t>
            </w:r>
          </w:p>
        </w:tc>
      </w:tr>
    </w:tbl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4. Qué NO debe hacer Cursor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Cambiar briefs, Style Cards, Topic Bank assignments, Distribution Rules o Blueprint slots para facilitar la generación.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Generar Part 4 usando Content Briefs.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Usar Topic Bank/Style Cards como input directo de Part 4.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Integrar las siete Parts en un orquestador antes de terminar ambos pilotos.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Interpretar un fallo aislado como motivo para rediseñar una capa completa.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Usar la memoria de Cursor como Usage History persistente.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Generar los 20 exámenes de producción en esta fase.</w:t>
      </w:r>
    </w:p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5. Contenido del ZIP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Carpeta</w:t>
            </w:r>
          </w:p>
        </w:tc>
        <w:tc>
          <w:tcPr>
            <w:tcW w:type="dxa" w:w="8568"/>
            <w:vAlign w:val="top"/>
            <w:shd w:fill="734A9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3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01_RUNTIME</w:t>
            </w:r>
          </w:p>
        </w:tc>
        <w:tc>
          <w:tcPr>
            <w:tcW w:type="dxa" w:w="8568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README, approval record, manifest y prompts de ejecución P1–P7.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02_APPROVED_INPUTS</w:t>
            </w:r>
          </w:p>
        </w:tc>
        <w:tc>
          <w:tcPr>
            <w:tcW w:type="dxa" w:w="8568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12 Content Briefs aprobados + 2 Transformation Blueprints aprobados.</w:t>
            </w:r>
          </w:p>
        </w:tc>
      </w:tr>
      <w:tr>
        <w:tc>
          <w:tcPr>
            <w:tcW w:type="dxa" w:w="223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03_REFERENCE</w:t>
            </w:r>
          </w:p>
        </w:tc>
        <w:tc>
          <w:tcPr>
            <w:tcW w:type="dxa" w:w="8568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Topic Bank, Style Cards, Distribution Rules, Content Brief System y Blueprint System.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04_REVIEW</w:t>
            </w:r>
          </w:p>
        </w:tc>
        <w:tc>
          <w:tcPr>
            <w:tcW w:type="dxa" w:w="8568"/>
            <w:vAlign w:val="top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Checklist general v1.1 + checklist específica Part 4.</w:t>
            </w:r>
          </w:p>
        </w:tc>
      </w:tr>
      <w:tr>
        <w:tc>
          <w:tcPr>
            <w:tcW w:type="dxa" w:w="2232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05_OUTPUTS</w:t>
            </w:r>
          </w:p>
        </w:tc>
        <w:tc>
          <w:tcPr>
            <w:tcW w:type="dxa" w:w="8568"/>
            <w:vAlign w:val="top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Destino de outputs de los dos exámenes y reportes de piloto.</w:t>
            </w:r>
          </w:p>
        </w:tc>
      </w:tr>
    </w:tbl>
    <w:p>
      <w:pPr>
        <w:keepNext/>
        <w:spacing w:before="140" w:after="80"/>
      </w:pPr>
      <w:r>
        <w:rPr>
          <w:rFonts w:ascii="Calibri" w:hAnsi="Calibri"/>
          <w:b/>
          <w:i w:val="0"/>
          <w:color w:val="734A91"/>
          <w:sz w:val="36"/>
        </w:rPr>
        <w:t>6. Qué significa éxito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22222"/>
          <w:sz w:val="21"/>
        </w:rPr>
        <w:t>El objetivo no es obtener dos exámenes bonitos una sola vez. Queremos comprobar que las capas aprobadas producen ejercicios válidos y que los fallos pueden localizarse y regenerarse sin rehacer todo el examen.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SIGUIENTE HITO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Cuando Phase A y Phase B hayan pasado revisión humana, se podrá diseñar el orquestador que coordine ambos pipelines y empezar las pruebas de ensamblaje de exámenes completos.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Cursor Pilot Generation Pack ·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