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rFonts w:ascii="Calibri" w:hAnsi="Calibri" w:eastAsia="Calibri" w:cs="Calibri"/>
          <w:b/>
          <w:i w:val="0"/>
          <w:color w:val="A87BC7"/>
          <w:sz w:val="30"/>
        </w:rPr>
        <w:t>DRALO</w:t>
      </w:r>
    </w:p>
    <w:p>
      <w:pPr>
        <w:jc w:val="center"/>
      </w:pPr>
      <w:r>
        <w:rPr>
          <w:rFonts w:ascii="Calibri" w:hAnsi="Calibri" w:eastAsia="Calibri" w:cs="Calibri"/>
          <w:b/>
          <w:i w:val="0"/>
          <w:color w:val="734A91"/>
          <w:sz w:val="46"/>
        </w:rPr>
        <w:t>RUOE GENERATION &amp; VALIDATOR UPGRADE</w:t>
      </w:r>
    </w:p>
    <w:p>
      <w:pPr>
        <w:jc w:val="center"/>
      </w:pPr>
      <w:r>
        <w:rPr>
          <w:rFonts w:ascii="Calibri" w:hAnsi="Calibri" w:eastAsia="Calibri" w:cs="Calibri"/>
          <w:b/>
          <w:i w:val="0"/>
          <w:color w:val="A87BC7"/>
          <w:sz w:val="26"/>
        </w:rPr>
        <w:t>Part-specific rules derived from pilot evidence · Includes Part 6 Architecture v2</w:t>
      </w:r>
    </w:p>
    <w:p>
      <w:pPr>
        <w:spacing w:after="280"/>
        <w:jc w:val="center"/>
      </w:pPr>
      <w:r>
        <w:rPr>
          <w:rFonts w:ascii="Calibri" w:hAnsi="Calibri" w:eastAsia="Calibri" w:cs="Calibri"/>
          <w:b w:val="0"/>
          <w:i w:val="0"/>
          <w:color w:val="222222"/>
          <w:sz w:val="20"/>
        </w:rPr>
        <w:t>Version 1.1 · 14 August 2026</w:t>
      </w:r>
    </w:p>
    <w:p>
      <w:r>
        <w:br w:type="page"/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734A91"/>
          <w:sz w:val="36"/>
        </w:rPr>
        <w:t>1. Architectural placement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734A9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i w:val="0"/>
                <w:color w:val="FFFFFF"/>
                <w:sz w:val="17"/>
              </w:rPr>
              <w:t>Layer</w:t>
            </w:r>
          </w:p>
        </w:tc>
        <w:tc>
          <w:tcPr>
            <w:tcW w:type="dxa" w:w="3389"/>
            <w:shd w:fill="734A9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i w:val="0"/>
                <w:color w:val="FFFFFF"/>
                <w:sz w:val="17"/>
              </w:rPr>
              <w:t>Change</w:t>
            </w:r>
          </w:p>
        </w:tc>
        <w:tc>
          <w:tcPr>
            <w:tcW w:type="dxa" w:w="3389"/>
            <w:shd w:fill="734A9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i w:val="0"/>
                <w:color w:val="FFFFFF"/>
                <w:sz w:val="17"/>
              </w:rPr>
              <w:t>Do not put here</w:t>
            </w:r>
          </w:p>
        </w:tc>
      </w:tr>
      <w:tr>
        <w:tc>
          <w:tcPr>
            <w:tcW w:type="dxa" w:w="3389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Topic Bank</w:t>
            </w:r>
          </w:p>
        </w:tc>
        <w:tc>
          <w:tcPr>
            <w:tcW w:type="dxa" w:w="3389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No change from pilot findings.</w:t>
            </w:r>
          </w:p>
        </w:tc>
        <w:tc>
          <w:tcPr>
            <w:tcW w:type="dxa" w:w="3389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Naturalness, distractor logic, title rules.</w:t>
            </w:r>
          </w:p>
        </w:tc>
      </w:tr>
      <w:tr>
        <w:tc>
          <w:tcPr>
            <w:tcW w:type="dxa" w:w="3389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Distribution Rules</w:t>
            </w:r>
          </w:p>
        </w:tc>
        <w:tc>
          <w:tcPr>
            <w:tcW w:type="dxa" w:w="3389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No core change; later add title-pattern history as soft longitudinal control.</w:t>
            </w:r>
          </w:p>
        </w:tc>
        <w:tc>
          <w:tcPr>
            <w:tcW w:type="dxa" w:w="3389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Part mechanics.</w:t>
            </w:r>
          </w:p>
        </w:tc>
      </w:tr>
      <w:tr>
        <w:tc>
          <w:tcPr>
            <w:tcW w:type="dxa" w:w="3389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Editorial Quality Standard</w:t>
            </w:r>
          </w:p>
        </w:tc>
        <w:tc>
          <w:tcPr>
            <w:tcW w:type="dxa" w:w="3389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Global naturalness, filler, title and adversarial quality rules.</w:t>
            </w:r>
          </w:p>
        </w:tc>
        <w:tc>
          <w:tcPr>
            <w:tcW w:type="dxa" w:w="3389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Topic allocation.</w:t>
            </w:r>
          </w:p>
        </w:tc>
      </w:tr>
      <w:tr>
        <w:tc>
          <w:tcPr>
            <w:tcW w:type="dxa" w:w="3389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Style Cards v1.1</w:t>
            </w:r>
          </w:p>
        </w:tc>
        <w:tc>
          <w:tcPr>
            <w:tcW w:type="dxa" w:w="3389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Genre-specific voice + title families + naturalness emphasis.</w:t>
            </w:r>
          </w:p>
        </w:tc>
        <w:tc>
          <w:tcPr>
            <w:tcW w:type="dxa" w:w="3389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Exact gap/question mechanics.</w:t>
            </w:r>
          </w:p>
        </w:tc>
      </w:tr>
      <w:tr>
        <w:tc>
          <w:tcPr>
            <w:tcW w:type="dxa" w:w="3389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Part prompts v1.1</w:t>
            </w:r>
          </w:p>
        </w:tc>
        <w:tc>
          <w:tcPr>
            <w:tcW w:type="dxa" w:w="3389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How each Part is constructed.</w:t>
            </w:r>
          </w:p>
        </w:tc>
        <w:tc>
          <w:tcPr>
            <w:tcW w:type="dxa" w:w="3389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Longitudinal topic allocation.</w:t>
            </w:r>
          </w:p>
        </w:tc>
      </w:tr>
      <w:tr>
        <w:tc>
          <w:tcPr>
            <w:tcW w:type="dxa" w:w="3389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Validators v1.1</w:t>
            </w:r>
          </w:p>
        </w:tc>
        <w:tc>
          <w:tcPr>
            <w:tcW w:type="dxa" w:w="3389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Independent enforcement and adversarial checks.</w:t>
            </w:r>
          </w:p>
        </w:tc>
        <w:tc>
          <w:tcPr>
            <w:tcW w:type="dxa" w:w="3389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Creative planning decisions.</w:t>
            </w:r>
          </w:p>
        </w:tc>
      </w:tr>
      <w:tr>
        <w:tc>
          <w:tcPr>
            <w:tcW w:type="dxa" w:w="3389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QA Lessons Learned</w:t>
            </w:r>
          </w:p>
        </w:tc>
        <w:tc>
          <w:tcPr>
            <w:tcW w:type="dxa" w:w="3389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Evidence/audit trail and promotion history.</w:t>
            </w:r>
          </w:p>
        </w:tc>
        <w:tc>
          <w:tcPr>
            <w:tcW w:type="dxa" w:w="3389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Rules that must be remembered only informally.</w:t>
            </w:r>
          </w:p>
        </w:tc>
      </w:tr>
    </w:tbl>
    <w:p>
      <w:pPr>
        <w:spacing w:after="20"/>
      </w:pP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734A91"/>
          <w:sz w:val="36"/>
        </w:rPr>
        <w:t>2. Cross-Part prompt changes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Generate natural prose first; item construction must not degrade the text.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Before finalising, rewrite any sentence whose main justification is ‘it makes the item work’.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Run an internal title-candidate stage after the text is stable.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Do not rely on generator self-assessment for answer uniqueness; pass output to independent validators.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Repair locally: sentence/item/question before whole exercise; whole exercise only when the structure is fundamentally unsalvageable.</w:t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734A91"/>
          <w:sz w:val="36"/>
        </w:rPr>
        <w:t>3. Part-specific changes</w:t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A87BC7"/>
          <w:sz w:val="29"/>
        </w:rPr>
        <w:t>Part 1 · Multiple-choice cloze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Build each item around a genuine lexical/collocational distinction in a natural sentence.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Adversarially test all four options. If two options are defensible in context, the item fails.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Do not rebalance A–D by changing the correct answer. Only reorder intact option sets when semantically safe.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Distractors must fail for an explainable lexical, collocational, semantic or grammatical reason.</w:t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A87BC7"/>
          <w:sz w:val="29"/>
        </w:rPr>
        <w:t>Part 2 · Open cloze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Prefer gaps that test meaningful function words/grammar rather than trivially obligatory continuations when the batch becomes too easy.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Naturalness of surrounding prose overrides desire to force a particular preposition/conjunction.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Check that each gap has one defensible one-word answer in context.</w:t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A87BC7"/>
          <w:sz w:val="29"/>
        </w:rPr>
        <w:t>Part 3 · Word formation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Require genuine derivational variety across the eight scored items: category changes, suffixes, prefixes and negative formation where natural.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Root identical to answer does not count as a valid transformation unless explicitly justified by the official mechanic; default action is replace the item.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If a planned stem produces an unnatural sentence, change the stem/item rather than force the sentence.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Validator must flag a batch with no prefix/negative formation or excessive same-type transformations.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Natural sentence first, transformation second.</w:t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A87BC7"/>
          <w:sz w:val="29"/>
        </w:rPr>
        <w:t>Part 5 · Multiple-choice reading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Construct distractors mainly from real passage information, but distort relation, cause, scope, attitude, speaker, timing or implication.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Reject distractors that can be discarded because the text never mentions the idea at all, unless strategically justified.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Verify every textual reference (‘last paragraph’, quoted phrase, pronoun) against the final passage.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Reduce literal word matching between question/option and evidence.</w:t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A87BC7"/>
          <w:sz w:val="29"/>
        </w:rPr>
        <w:t>Part 7 · Multiple matching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Questions should paraphrase evidence rather than reuse the decisive wording from a profile.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Each question must require discrimination of meaning, attitude, motivation, timing, cause or outcome.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Run a lexical-overlap check; high overlap with exactly one profile is a warning and may require rewriting.</w:t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734A91"/>
          <w:sz w:val="36"/>
        </w:rPr>
        <w:t>4. Part 6 Generation Architecture v2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D7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i w:val="0"/>
                <w:color w:val="734A91"/>
                <w:sz w:val="21"/>
              </w:rPr>
              <w:t>Structural correction</w:t>
            </w:r>
          </w:p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Part 6 must be generated as a true gapped-text task. The six correct A–G options are sentences removed from the article; they must not remain duplicated in the passage.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734A9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i w:val="0"/>
                <w:color w:val="FFFFFF"/>
                <w:sz w:val="17"/>
              </w:rPr>
              <w:t>Step</w:t>
            </w:r>
          </w:p>
        </w:tc>
        <w:tc>
          <w:tcPr>
            <w:tcW w:type="dxa" w:w="5083"/>
            <w:shd w:fill="734A9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i w:val="0"/>
                <w:color w:val="FFFFFF"/>
                <w:sz w:val="17"/>
              </w:rPr>
              <w:t>Required behaviour</w:t>
            </w:r>
          </w:p>
        </w:tc>
      </w:tr>
      <w:tr>
        <w:tc>
          <w:tcPr>
            <w:tcW w:type="dxa" w:w="5083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P6-V2-01</w:t>
            </w:r>
          </w:p>
        </w:tc>
        <w:tc>
          <w:tcPr>
            <w:tcW w:type="dxa" w:w="5083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Generate a complete, coherent article from the approved Content Brief and Style Card, with no gaps yet.</w:t>
            </w:r>
          </w:p>
        </w:tc>
      </w:tr>
      <w:tr>
        <w:tc>
          <w:tcPr>
            <w:tcW w:type="dxa" w:w="5083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P6-V2-02</w:t>
            </w:r>
          </w:p>
        </w:tc>
        <w:tc>
          <w:tcPr>
            <w:tcW w:type="dxa" w:w="5083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Identify six genuine cohesion opportunities at paragraph/inter-paragraph level.</w:t>
            </w:r>
          </w:p>
        </w:tc>
      </w:tr>
      <w:tr>
        <w:tc>
          <w:tcPr>
            <w:tcW w:type="dxa" w:w="5083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P6-V2-03</w:t>
            </w:r>
          </w:p>
        </w:tc>
        <w:tc>
          <w:tcPr>
            <w:tcW w:type="dxa" w:w="5083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For each candidate, record: discourse function, backward anchor, forward anchor, reference chain, logical relation and why it should fit only one position.</w:t>
            </w:r>
          </w:p>
        </w:tc>
      </w:tr>
      <w:tr>
        <w:tc>
          <w:tcPr>
            <w:tcW w:type="dxa" w:w="5083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P6-V2-04</w:t>
            </w:r>
          </w:p>
        </w:tc>
        <w:tc>
          <w:tcPr>
            <w:tcW w:type="dxa" w:w="5083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Write/select one complete removable sentence for each opportunity. A Cambridge-like option is normally one sentence, but it may be developed enough to occupy several visual lines.</w:t>
            </w:r>
          </w:p>
        </w:tc>
      </w:tr>
      <w:tr>
        <w:tc>
          <w:tcPr>
            <w:tcW w:type="dxa" w:w="5083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P6-V2-05</w:t>
            </w:r>
          </w:p>
        </w:tc>
        <w:tc>
          <w:tcPr>
            <w:tcW w:type="dxa" w:w="5083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Physically remove the six sentences from the article and replace them with gaps 37–42.</w:t>
            </w:r>
          </w:p>
        </w:tc>
      </w:tr>
      <w:tr>
        <w:tc>
          <w:tcPr>
            <w:tcW w:type="dxa" w:w="5083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P6-V2-06</w:t>
            </w:r>
          </w:p>
        </w:tc>
        <w:tc>
          <w:tcPr>
            <w:tcW w:type="dxa" w:w="5083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Create one plausible unused sentence that shares topic/lexis but fails at least one essential cohesion relation in every gap.</w:t>
            </w:r>
          </w:p>
        </w:tc>
      </w:tr>
      <w:tr>
        <w:tc>
          <w:tcPr>
            <w:tcW w:type="dxa" w:w="5083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P6-V2-07</w:t>
            </w:r>
          </w:p>
        </w:tc>
        <w:tc>
          <w:tcPr>
            <w:tcW w:type="dxa" w:w="5083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Shuffle the seven options A–G only after extraction.</w:t>
            </w:r>
          </w:p>
        </w:tc>
      </w:tr>
      <w:tr>
        <w:tc>
          <w:tcPr>
            <w:tcW w:type="dxa" w:w="5083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P6-V2-08</w:t>
            </w:r>
          </w:p>
        </w:tc>
        <w:tc>
          <w:tcPr>
            <w:tcW w:type="dxa" w:w="5083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Run structural, uniqueness and editorial validators before output.</w:t>
            </w:r>
          </w:p>
        </w:tc>
      </w:tr>
    </w:tbl>
    <w:p>
      <w:pPr>
        <w:spacing w:after="20"/>
      </w:pP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734A91"/>
          <w:sz w:val="36"/>
        </w:rPr>
        <w:t>5. Part 6 option design standard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Each A–G option is normally one complete sentence, not 3–4 separate sentences.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Options may be substantially longer than the pilot outputs; Cambridge reference samples include both concise and developed single-sentence options.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Use a soft editorial target rather than a hard word count: roughly 8–30 words is acceptable when cohesion requires it; justified exceptions are allowed.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An option should carry meaningful discourse: reference, contrast, consequence, reformulation, exemplification, continuation, cause, concession or temporal development.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Do not shorten an option merely to hit a target if that removes the cohesion signal.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Across the seven options, vary cohesion mechanisms; do not make every answer solvable by one pronoun or one repeated noun.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The correct option must make sense with both the preceding and following text, not merely with one side.</w:t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734A91"/>
          <w:sz w:val="36"/>
        </w:rPr>
        <w:t>6. Part 6 HARD validators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734A9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5083"/>
            <w:shd w:fill="734A9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i w:val="0"/>
                <w:color w:val="FFFFFF"/>
                <w:sz w:val="17"/>
              </w:rPr>
              <w:t>Hard check</w:t>
            </w:r>
          </w:p>
        </w:tc>
      </w:tr>
      <w:tr>
        <w:tc>
          <w:tcPr>
            <w:tcW w:type="dxa" w:w="5083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P6-H01</w:t>
            </w:r>
          </w:p>
        </w:tc>
        <w:tc>
          <w:tcPr>
            <w:tcW w:type="dxa" w:w="5083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Exactly 6 gaps numbered 37–42.</w:t>
            </w:r>
          </w:p>
        </w:tc>
      </w:tr>
      <w:tr>
        <w:tc>
          <w:tcPr>
            <w:tcW w:type="dxa" w:w="5083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P6-H02</w:t>
            </w:r>
          </w:p>
        </w:tc>
        <w:tc>
          <w:tcPr>
            <w:tcW w:type="dxa" w:w="5083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Exactly 7 options A–G and exactly one unused option.</w:t>
            </w:r>
          </w:p>
        </w:tc>
      </w:tr>
      <w:tr>
        <w:tc>
          <w:tcPr>
            <w:tcW w:type="dxa" w:w="5083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P6-H03</w:t>
            </w:r>
          </w:p>
        </w:tc>
        <w:tc>
          <w:tcPr>
            <w:tcW w:type="dxa" w:w="5083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No option A–G may remain verbatim in the gapped passage.</w:t>
            </w:r>
          </w:p>
        </w:tc>
      </w:tr>
      <w:tr>
        <w:tc>
          <w:tcPr>
            <w:tcW w:type="dxa" w:w="5083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P6-H04</w:t>
            </w:r>
          </w:p>
        </w:tc>
        <w:tc>
          <w:tcPr>
            <w:tcW w:type="dxa" w:w="5083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Each correct option fits one and only one gap.</w:t>
            </w:r>
          </w:p>
        </w:tc>
      </w:tr>
      <w:tr>
        <w:tc>
          <w:tcPr>
            <w:tcW w:type="dxa" w:w="5083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P6-H05</w:t>
            </w:r>
          </w:p>
        </w:tc>
        <w:tc>
          <w:tcPr>
            <w:tcW w:type="dxa" w:w="5083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No gap has two fully defensible answers.</w:t>
            </w:r>
          </w:p>
        </w:tc>
      </w:tr>
      <w:tr>
        <w:tc>
          <w:tcPr>
            <w:tcW w:type="dxa" w:w="5083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P6-H06</w:t>
            </w:r>
          </w:p>
        </w:tc>
        <w:tc>
          <w:tcPr>
            <w:tcW w:type="dxa" w:w="5083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Unused option fits no gap fully.</w:t>
            </w:r>
          </w:p>
        </w:tc>
      </w:tr>
      <w:tr>
        <w:tc>
          <w:tcPr>
            <w:tcW w:type="dxa" w:w="5083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P6-H07</w:t>
            </w:r>
          </w:p>
        </w:tc>
        <w:tc>
          <w:tcPr>
            <w:tcW w:type="dxa" w:w="5083"/>
            <w:shd w:fill="F1D7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Correct option must have a documented cohesion relation to both local sides of the gap.</w:t>
            </w:r>
          </w:p>
        </w:tc>
      </w:tr>
      <w:tr>
        <w:tc>
          <w:tcPr>
            <w:tcW w:type="dxa" w:w="5083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P6-H08</w:t>
            </w:r>
          </w:p>
        </w:tc>
        <w:tc>
          <w:tcPr>
            <w:tcW w:type="dxa" w:w="5083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16"/>
              </w:rPr>
              <w:t>Final passage plus inserted correct options reconstructs coherent prose without duplication.</w:t>
            </w:r>
          </w:p>
        </w:tc>
      </w:tr>
    </w:tbl>
    <w:p>
      <w:pPr>
        <w:spacing w:after="20"/>
      </w:pP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734A91"/>
          <w:sz w:val="36"/>
        </w:rPr>
        <w:t>7. Quality/adversarial validators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Try every wrong option in every gap and explain why it fails. If the explanation is weak or subjective, flag for regeneration.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Check that options are not all trivially short or generic.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Check lexical overlap: repeated nouns may support cohesion but must not make answers obvious by keyword matching alone.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Check paragraph progression after reinsertion of all six answers.</w:t>
      </w:r>
    </w:p>
    <w:p>
      <w:pPr>
        <w:spacing w:after="40"/>
        <w:ind w:left="259" w:hanging="202"/>
      </w:pPr>
      <w:r>
        <w:rPr>
          <w:rFonts w:ascii="Calibri" w:hAnsi="Calibri" w:eastAsia="Calibri" w:cs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222222"/>
          <w:sz w:val="20"/>
        </w:rPr>
        <w:t>Check title and prose using Editorial Quality Validator after P6 mechanics pass.</w:t>
      </w:r>
    </w:p>
    <w:p>
      <w:pPr>
        <w:keepNext/>
        <w:spacing w:before="140" w:after="60"/>
      </w:pPr>
      <w:r>
        <w:rPr>
          <w:rFonts w:ascii="Calibri" w:hAnsi="Calibri" w:eastAsia="Calibri" w:cs="Calibri"/>
          <w:b/>
          <w:i w:val="0"/>
          <w:color w:val="734A91"/>
          <w:sz w:val="36"/>
        </w:rPr>
        <w:t>8. Acceptance gate before scaling</w:t>
      </w:r>
    </w:p>
    <w:p>
      <w:pPr>
        <w:spacing w:after="60" w:line="247" w:lineRule="auto"/>
      </w:pPr>
      <w:r>
        <w:rPr>
          <w:rFonts w:ascii="Calibri" w:hAnsi="Calibri" w:eastAsia="Calibri" w:cs="Calibri"/>
          <w:b w:val="0"/>
          <w:i w:val="0"/>
          <w:color w:val="222222"/>
          <w:sz w:val="21"/>
        </w:rPr>
        <w:t>Do not treat these rules as validated merely because they have been implemented. Generate a second controlled pilot and require human review. Only promote to production-scale generation after the new validators catch seeded bad cases and teachers confirm a material reduction in naturalness/item-quality problems.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 w:cs="Calibri"/>
        <w:b w:val="0"/>
        <w:i w:val="0"/>
        <w:color w:val="666666"/>
        <w:sz w:val="16"/>
      </w:rPr>
      <w:t>Version 1.1 · 14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 w:cs="Calibri"/>
        <w:b/>
        <w:i w:val="0"/>
        <w:color w:val="734A91"/>
        <w:sz w:val="18"/>
      </w:rPr>
      <w:t>DRALO · RUOE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