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jc w:val="left"/>
      </w:pPr>
      <w:r>
        <w:rPr>
          <w:rFonts w:ascii="Aptos" w:hAnsi="Aptos"/>
          <w:b/>
          <w:color w:val="2E7785"/>
          <w:sz w:val="28"/>
        </w:rPr>
        <w:t>DRALO</w:t>
      </w:r>
    </w:p>
    <w:p>
      <w:pPr>
        <w:pStyle w:val="Title"/>
        <w:spacing w:before="0" w:after="60" w:line="259" w:lineRule="auto"/>
      </w:pPr>
      <w:r>
        <w:t>Writing Engine — Acceptance &amp; Validation Specification</w:t>
      </w:r>
    </w:p>
    <w:p>
      <w:pPr>
        <w:spacing w:before="0" w:after="200" w:line="259" w:lineRule="auto"/>
      </w:pPr>
      <w:r>
        <w:rPr>
          <w:rFonts w:ascii="Aptos" w:hAnsi="Aptos"/>
          <w:color w:val="2E7785"/>
          <w:sz w:val="25"/>
        </w:rPr>
        <w:t>Golden tests, behavioural validation, UX acceptance and release gates · Version 1.0</w:t>
      </w:r>
    </w:p>
    <w:tbl>
      <w:tblPr>
        <w:tblW w:type="auto" w:w="0"/>
        <w:jc w:val="left"/>
        <w:tblLayout w:type="autofit"/>
        <w:tblLook w:firstColumn="1" w:firstRow="1" w:lastColumn="0" w:lastRow="0" w:noHBand="0" w:noVBand="1" w:val="04A0"/>
      </w:tblPr>
      <w:tblGrid>
        <w:gridCol w:w="10166"/>
      </w:tblGrid>
      <w:tr>
        <w:tc>
          <w:tcPr>
            <w:tcW w:type="dxa" w:w="10166"/>
            <w:shd w:fill="EAF5F4"/>
            <w:tcMar>
              <w:top w:w="140" w:type="dxa"/>
              <w:start w:w="160" w:type="dxa"/>
              <w:bottom w:w="140" w:type="dxa"/>
              <w:end w:w="160" w:type="dxa"/>
            </w:tcMar>
          </w:tcPr>
          <w:p>
            <w:pPr>
              <w:spacing w:before="0" w:after="0" w:line="259" w:lineRule="auto"/>
            </w:pPr>
            <w:r>
              <w:rPr>
                <w:rFonts w:ascii="Aptos" w:hAnsi="Aptos"/>
                <w:b/>
                <w:color w:val="183B65"/>
                <w:sz w:val="21"/>
              </w:rPr>
              <w:t>RELEASE CONTRACT · Execute against the repository implementation</w:t>
            </w:r>
          </w:p>
        </w:tc>
      </w:tr>
    </w:tbl>
    <w:p/>
    <w:p>
      <w:pPr>
        <w:spacing w:before="0" w:after="40" w:line="259" w:lineRule="auto"/>
      </w:pPr>
      <w:r>
        <w:rPr>
          <w:rFonts w:ascii="Aptos" w:hAnsi="Aptos"/>
          <w:color w:val="1C2733"/>
          <w:sz w:val="21"/>
        </w:rPr>
        <w:t>Document 06 of the DRALO Writing Assessment Engine implementation package</w:t>
      </w:r>
    </w:p>
    <w:p>
      <w:r>
        <w:rPr>
          <w:rFonts w:ascii="Aptos" w:hAnsi="Aptos"/>
          <w:color w:val="64707D"/>
          <w:sz w:val="18"/>
        </w:rPr>
        <w:t>9 August 2026</w:t>
      </w:r>
    </w:p>
    <w:p>
      <w:pPr>
        <w:spacing w:before="0" w:after="2000" w:line="259" w:lineRule="auto"/>
      </w:pPr>
    </w:p>
    <w:p>
      <w:pPr>
        <w:spacing w:before="0" w:after="60" w:line="259" w:lineRule="auto"/>
      </w:pPr>
      <w:r>
        <w:rPr>
          <w:rFonts w:ascii="Aptos" w:hAnsi="Aptos"/>
          <w:b/>
          <w:color w:val="2E7785"/>
          <w:sz w:val="16"/>
        </w:rPr>
        <w:t>SOURCE-OF-TRUTH BOUNDARY</w:t>
      </w:r>
    </w:p>
    <w:p>
      <w:r>
        <w:rPr>
          <w:rFonts w:ascii="Aptos" w:hAnsi="Aptos"/>
          <w:color w:val="1C2733"/>
          <w:sz w:val="19"/>
        </w:rPr>
        <w:t>This document validates the software translation of Documents 01–04 and the implementation contract in Document 05. It must not silently alter the pedagogical, assessment or UX rules in those source documents.</w:t>
      </w:r>
    </w:p>
    <w:p>
      <w:r>
        <w:br w:type="page"/>
      </w:r>
    </w:p>
    <w:p>
      <w:pPr>
        <w:pStyle w:val="Heading1"/>
        <w:pBdr>
          <w:bottom w:val="single" w:sz="8" w:space="2" w:color="EAF2F8"/>
        </w:pBdr>
      </w:pPr>
      <w:r>
        <w:t>Document Metadata</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83B65"/>
            <w:tcMar>
              <w:top w:w="90" w:type="dxa"/>
              <w:start w:w="90" w:type="dxa"/>
              <w:bottom w:w="90" w:type="dxa"/>
              <w:end w:w="90" w:type="dxa"/>
            </w:tcMar>
            <w:vAlign w:val="center"/>
          </w:tcPr>
          <w:p>
            <w:pPr>
              <w:spacing w:after="0"/>
            </w:pPr>
            <w:r>
              <w:rPr>
                <w:rFonts w:ascii="Aptos" w:hAnsi="Aptos"/>
                <w:b/>
                <w:color w:val="FFFFFF"/>
                <w:sz w:val="17"/>
              </w:rPr>
              <w:t>Field</w:t>
            </w:r>
          </w:p>
        </w:tc>
        <w:tc>
          <w:tcPr>
            <w:tcW w:type="dxa" w:w="5083"/>
            <w:shd w:fill="183B65"/>
            <w:tcMar>
              <w:top w:w="90" w:type="dxa"/>
              <w:start w:w="90" w:type="dxa"/>
              <w:bottom w:w="90" w:type="dxa"/>
              <w:end w:w="90" w:type="dxa"/>
            </w:tcMar>
            <w:vAlign w:val="center"/>
          </w:tcPr>
          <w:p>
            <w:pPr>
              <w:spacing w:after="0"/>
            </w:pPr>
            <w:r>
              <w:rPr>
                <w:rFonts w:ascii="Aptos" w:hAnsi="Aptos"/>
                <w:b/>
                <w:color w:val="FFFFFF"/>
                <w:sz w:val="17"/>
              </w:rPr>
              <w:t>Value</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Document ID</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06</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Document Name</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DRALO — Writing Engine Acceptance &amp; Validation Specification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Version</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1.0</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Status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Vigente — validation contract complete; execution pending implementation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Last Updated</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2026-08-09</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Knowledge Source</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01 — Task Requirements; 02 — DRALO Teacher DNA v1.0; 03 — DRALO Cambridge Assessment v1.0; 04 — DRALO Writing Feedback UX Specification v1.0; 05 — DRALO Writing Engine Technical Implementation Handoff v1.0</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Scope</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Acceptance tests, golden calibration, regression protection, UX/visual validation, accessibility, performance/cost checks and release gates for the Writing Engine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Related Documents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01, 02, 03, 04, 05</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Dependencies</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Implemented Writing Engine in current DRALO repository; stable staging environment; repository audit complete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Supersedes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No prior unified acceptance specification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Owner</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Por definir</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Review Required</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7"/>
              </w:rPr>
              <w:t>Yes — qualified teacher calibration + technical/UX acceptance before production release</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7"/>
              </w:rPr>
              <w:t>Documentation Standard</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7"/>
              </w:rPr>
              <w:t>DRALO Specification Template v1.0</w:t>
            </w:r>
          </w:p>
        </w:tc>
      </w:tr>
    </w:tbl>
    <w:p>
      <w:pPr>
        <w:spacing w:after="20"/>
      </w:pPr>
    </w:p>
    <w:p>
      <w:pPr>
        <w:pStyle w:val="Heading1"/>
        <w:pBdr>
          <w:bottom w:val="single" w:sz="8" w:space="2" w:color="EAF2F8"/>
        </w:pBdr>
      </w:pPr>
      <w:r>
        <w:t>1. Purpose and acceptance authority</w:t>
      </w:r>
    </w:p>
    <w:p>
      <w:r>
        <w:rPr>
          <w:rFonts w:ascii="Aptos" w:hAnsi="Aptos"/>
        </w:rPr>
        <w:t>This document defines what evidence is required before the DRALO Writing Assessment Engine can be considered correctly implemented. It tests not only whether the software runs, but whether it preserves the pedagogical, Cambridge-scoring and UX behaviours defined in Documents 01–05.</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pPr>
              <w:spacing w:before="0" w:after="0" w:line="259" w:lineRule="auto"/>
            </w:pPr>
            <w:r>
              <w:rPr>
                <w:rFonts w:ascii="Aptos" w:hAnsi="Aptos"/>
                <w:b/>
                <w:color w:val="183B65"/>
                <w:sz w:val="19"/>
              </w:rPr>
              <w:t>A correct /20 total reached through incorrect criterion reasoning is a failed implementation. A visually attractive interface that violates the Writing-first UX or DRALO design system is also a failed implementation.</w:t>
            </w:r>
          </w:p>
        </w:tc>
      </w:tr>
    </w:tbl>
    <w:p>
      <w:pPr>
        <w:pStyle w:val="Heading2"/>
      </w:pPr>
      <w:r>
        <w:t>Source-of-truth hierarchy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5"/>
              </w:rPr>
              <w:t>Source</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5"/>
              </w:rPr>
              <w:t>Authority</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5"/>
              </w:rPr>
              <w:t>Implementation constraint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5"/>
              </w:rPr>
              <w:t>01 — Task Requirements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Task facts, genre conventions, mandatory vs recommended elements.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Must not be redefined by implementation.</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02 — DRALO Teacher DNA v1.0</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Pedagogical reasoning, correction priorities, learner-history use, feedback depth.</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May affect what is noticed/prioritised; must not alter Cambridge scoring.</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5"/>
              </w:rPr>
              <w:t>03 — DRALO Cambridge Assessment v1.0</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Four independent 0–5 marks, evidence, band boundaries, /20 handling, calibration.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Authoritative scoring layer for DRALO.</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04 — DRALO Writing Feedback UX Specification v1.0</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Visible sequence, Interactive Writing Map, progressive disclosure, desktop/mobile interaction.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Authoritative learner-facing behaviour and visual compatibility rules.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5"/>
              </w:rPr>
              <w:t>Current DRALO repository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Routes, components, database tables, API/runtime prompt configuration, visual design tokens.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Technical source of truth after read-only audit; must not silently change product rules.</w:t>
            </w:r>
          </w:p>
        </w:tc>
      </w:tr>
    </w:tbl>
    <w:p>
      <w:pPr>
        <w:spacing w:after="20"/>
      </w:pPr>
    </w:p>
    <w:p>
      <w:pPr>
        <w:pStyle w:val="Heading1"/>
        <w:pBdr>
          <w:bottom w:val="single" w:sz="8" w:space="2" w:color="EAF2F8"/>
        </w:pBdr>
      </w:pPr>
      <w:r>
        <w:t>2. Test layers and severity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Layer</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What it proves</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Typical failures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Schema / unit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Structured contracts and deterministic validators work.</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Invalid marks, incorrect total, broken evidence binding, missing version metadata.</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Task Requirements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Task facts and genre conventions are interpreted correctly.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Invented title penalty, wrong email register, report headings treated as optional.</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Teacher DNA behaviour</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Pedagogical priority, authorship, learner-history safeguards and feedback depth are correct.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Overcorrection, discouraging ambition, invented recurrence, generic feedback.</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Cambridge golden calibration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Official examiner profiles are reproduced exactly.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Score smoothing, error counting, wrong band boundaries.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Borderline / regression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Known failure modes remain fixed across prompt/model changes.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Band 4 rationale with no adjacent-band evidence, length deduction, connector counting.</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Integration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Stages pass valid structured data end-to-end and persist correct provenance.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Feedback changes marks, persistence loses source versions, retry corrupts state.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UX / interaction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Document 04 storytelling and interactions are implemented.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Dashboard-first result, hover popups, wrong mobile pattern.</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Visual compatibility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New UI belongs to current DRALO rather than a new visual product.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Mock-up palette copied literally, unrelated navigation redesigned.</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Accessibility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Keyboard/touch/screen-reader use is viable.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Unreachable annotations, colour-only meaning, inaccessible bottom sheet.</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Performance / cost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Quality is sustainable in production.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Unapproved token cost, excessive latency, quality collapse after optimisation.</w:t>
            </w:r>
          </w:p>
        </w:tc>
      </w:tr>
    </w:tbl>
    <w:p>
      <w:pPr>
        <w:spacing w:after="20"/>
      </w:pPr>
    </w:p>
    <w:p>
      <w:pPr>
        <w:pStyle w:val="Heading2"/>
      </w:pPr>
      <w:r>
        <w:t>2.1 Severity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5"/>
              </w:rPr>
              <w:t>Severity</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5"/>
              </w:rPr>
              <w:t>Meaning</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5"/>
              </w:rPr>
              <w:t>Release effect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5"/>
              </w:rPr>
              <w:t>P0 — Blocking</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Wrong scoring construct, fabricated evidence, task-context fabrication, data/security failure, broken submission flow.</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Release blocked.</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P1 — Major</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Golden case mismatch, criterion contamination, major UX architecture violation, inaccessible core interaction, provenance/version loss.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Release blocked.</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5"/>
              </w:rPr>
              <w:t>P2 — Material</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Incorrect feedback priority, inconsistent summary/detail, visual-system mismatch, non-critical responsive defect.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5"/>
              </w:rPr>
              <w:t>Must be resolved or explicitly waived before production.</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P3 — Minor</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Copy polish, non-blocking spacing issue, low-impact cosmetic inconsistency.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5"/>
              </w:rPr>
              <w:t>Can be scheduled after release if accepted.</w:t>
            </w:r>
          </w:p>
        </w:tc>
      </w:tr>
    </w:tbl>
    <w:p>
      <w:pPr>
        <w:spacing w:after="20"/>
      </w:pPr>
    </w:p>
    <w:p>
      <w:pPr>
        <w:pStyle w:val="Heading1"/>
        <w:pBdr>
          <w:bottom w:val="single" w:sz="8" w:space="2" w:color="EAF2F8"/>
        </w:pBdr>
      </w:pPr>
      <w:r>
        <w:t>3. Gate 0 — repository audit acceptance</w:t>
      </w:r>
    </w:p>
    <w:p>
      <w:pPr>
        <w:pStyle w:val="ListBullet"/>
      </w:pPr>
      <w:r>
        <w:rPr>
          <w:rFonts w:ascii="Aptos" w:hAnsi="Aptos"/>
          <w:sz w:val="18"/>
        </w:rPr>
        <w:t>The read-only audit in Document 05 Section 16 has been completed.</w:t>
      </w:r>
    </w:p>
    <w:p>
      <w:pPr>
        <w:pStyle w:val="ListBullet"/>
      </w:pPr>
      <w:r>
        <w:rPr>
          <w:rFonts w:ascii="Aptos" w:hAnsi="Aptos"/>
          <w:sz w:val="18"/>
        </w:rPr>
        <w:t>The actual runtime source of current Writing prompts/configuration is known, including database/admin/config overrides.</w:t>
      </w:r>
    </w:p>
    <w:p>
      <w:pPr>
        <w:pStyle w:val="ListBullet"/>
      </w:pPr>
      <w:r>
        <w:rPr>
          <w:rFonts w:ascii="Aptos" w:hAnsi="Aptos"/>
          <w:sz w:val="18"/>
        </w:rPr>
        <w:t>Current Writing routes, handlers, Supabase tables, reusable UI components and visual tokens are identified with exact file paths.</w:t>
      </w:r>
    </w:p>
    <w:p>
      <w:pPr>
        <w:pStyle w:val="ListBullet"/>
      </w:pPr>
      <w:r>
        <w:rPr>
          <w:rFonts w:ascii="Aptos" w:hAnsi="Aptos"/>
          <w:sz w:val="18"/>
        </w:rPr>
        <w:t>No code, database or prompt state was changed during the audit.</w:t>
      </w:r>
    </w:p>
    <w:p>
      <w:pPr>
        <w:pStyle w:val="ListBullet"/>
      </w:pPr>
      <w:r>
        <w:rPr>
          <w:rFonts w:ascii="Aptos" w:hAnsi="Aptos"/>
          <w:sz w:val="18"/>
        </w:rPr>
        <w:t>Secrets were not copied into documentation; only environment-variable names and secret locations are recorded.</w:t>
      </w:r>
    </w:p>
    <w:p>
      <w:pPr>
        <w:pStyle w:val="ListBullet"/>
      </w:pPr>
      <w:r>
        <w:rPr>
          <w:rFonts w:ascii="Aptos" w:hAnsi="Aptos"/>
          <w:sz w:val="18"/>
        </w:rPr>
        <w:t>Known technical conflicts with Documents 01–04 are listed and assigned for resolution.</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pPr>
              <w:spacing w:before="0" w:after="0" w:line="259" w:lineRule="auto"/>
            </w:pPr>
            <w:r>
              <w:rPr>
                <w:rFonts w:ascii="Aptos" w:hAnsi="Aptos"/>
                <w:b/>
                <w:color w:val="183B65"/>
                <w:sz w:val="19"/>
              </w:rPr>
              <w:t>Do not begin acceptance of scoring or UX implementation if the runtime prompt source remains unknown.</w:t>
            </w:r>
          </w:p>
        </w:tc>
      </w:tr>
    </w:tbl>
    <w:p>
      <w:pPr>
        <w:pStyle w:val="Heading1"/>
        <w:pBdr>
          <w:bottom w:val="single" w:sz="8" w:space="2" w:color="EAF2F8"/>
        </w:pBdr>
      </w:pPr>
      <w:r>
        <w:t>4. Schema and deterministic validation tests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83B65"/>
            <w:tcMar>
              <w:top w:w="90" w:type="dxa"/>
              <w:start w:w="90" w:type="dxa"/>
              <w:bottom w:w="90" w:type="dxa"/>
              <w:end w:w="90" w:type="dxa"/>
            </w:tcMar>
            <w:vAlign w:val="center"/>
          </w:tcPr>
          <w:p>
            <w:pPr>
              <w:spacing w:after="0"/>
            </w:pPr>
            <w:r>
              <w:rPr>
                <w:rFonts w:ascii="Aptos" w:hAnsi="Aptos"/>
                <w:b/>
                <w:color w:val="FFFFFF"/>
                <w:sz w:val="14"/>
              </w:rPr>
              <w:t>Test ID</w:t>
            </w:r>
          </w:p>
        </w:tc>
        <w:tc>
          <w:tcPr>
            <w:tcW w:type="dxa" w:w="2541"/>
            <w:shd w:fill="183B65"/>
            <w:tcMar>
              <w:top w:w="90" w:type="dxa"/>
              <w:start w:w="90" w:type="dxa"/>
              <w:bottom w:w="90" w:type="dxa"/>
              <w:end w:w="90" w:type="dxa"/>
            </w:tcMar>
            <w:vAlign w:val="center"/>
          </w:tcPr>
          <w:p>
            <w:pPr>
              <w:spacing w:after="0"/>
            </w:pPr>
            <w:r>
              <w:rPr>
                <w:rFonts w:ascii="Aptos" w:hAnsi="Aptos"/>
                <w:b/>
                <w:color w:val="FFFFFF"/>
                <w:sz w:val="14"/>
              </w:rPr>
              <w:t>Input / condition</w:t>
            </w:r>
          </w:p>
        </w:tc>
        <w:tc>
          <w:tcPr>
            <w:tcW w:type="dxa" w:w="2541"/>
            <w:shd w:fill="183B65"/>
            <w:tcMar>
              <w:top w:w="90" w:type="dxa"/>
              <w:start w:w="90" w:type="dxa"/>
              <w:bottom w:w="90" w:type="dxa"/>
              <w:end w:w="90" w:type="dxa"/>
            </w:tcMar>
            <w:vAlign w:val="center"/>
          </w:tcPr>
          <w:p>
            <w:pPr>
              <w:spacing w:after="0"/>
            </w:pPr>
            <w:r>
              <w:rPr>
                <w:rFonts w:ascii="Aptos" w:hAnsi="Aptos"/>
                <w:b/>
                <w:color w:val="FFFFFF"/>
                <w:sz w:val="14"/>
              </w:rPr>
              <w:t>Expected result</w:t>
            </w:r>
          </w:p>
        </w:tc>
        <w:tc>
          <w:tcPr>
            <w:tcW w:type="dxa" w:w="2541"/>
            <w:shd w:fill="183B65"/>
            <w:tcMar>
              <w:top w:w="90" w:type="dxa"/>
              <w:start w:w="90" w:type="dxa"/>
              <w:bottom w:w="90" w:type="dxa"/>
              <w:end w:w="90" w:type="dxa"/>
            </w:tcMar>
            <w:vAlign w:val="center"/>
          </w:tcPr>
          <w:p>
            <w:pPr>
              <w:spacing w:after="0"/>
            </w:pPr>
            <w:r>
              <w:rPr>
                <w:rFonts w:ascii="Aptos" w:hAnsi="Aptos"/>
                <w:b/>
                <w:color w:val="FFFFFF"/>
                <w:sz w:val="14"/>
              </w:rPr>
              <w:t>Severity</w:t>
            </w:r>
          </w:p>
        </w:tc>
      </w:tr>
      <w:tr>
        <w:tc>
          <w:tcPr>
            <w:tcW w:type="dxa" w:w="2541"/>
            <w:tcMar>
              <w:top w:w="75" w:type="dxa"/>
              <w:start w:w="85" w:type="dxa"/>
              <w:bottom w:w="75" w:type="dxa"/>
              <w:end w:w="85" w:type="dxa"/>
            </w:tcMar>
            <w:vAlign w:val="top"/>
          </w:tcPr>
          <w:p>
            <w:pPr>
              <w:spacing w:after="0" w:line="240" w:lineRule="auto"/>
            </w:pPr>
            <w:r>
              <w:rPr>
                <w:rFonts w:ascii="Aptos" w:hAnsi="Aptos"/>
                <w:color w:val="1C2733"/>
                <w:sz w:val="14"/>
              </w:rPr>
              <w:t>SC-01</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Complete valid task_analysis</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Schema accepts all mandatory fields and mandatory_content_points have stable IDs.</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SC-02</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Criterion mark = 3.5</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Rejected; only integers 0–5 allowed.</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P0</w:t>
            </w:r>
          </w:p>
        </w:tc>
      </w:tr>
      <w:tr>
        <w:tc>
          <w:tcPr>
            <w:tcW w:type="dxa" w:w="2541"/>
            <w:tcMar>
              <w:top w:w="75" w:type="dxa"/>
              <w:start w:w="85" w:type="dxa"/>
              <w:bottom w:w="75" w:type="dxa"/>
              <w:end w:w="85" w:type="dxa"/>
            </w:tcMar>
            <w:vAlign w:val="top"/>
          </w:tcPr>
          <w:p>
            <w:pPr>
              <w:spacing w:after="0" w:line="240" w:lineRule="auto"/>
            </w:pPr>
            <w:r>
              <w:rPr>
                <w:rFonts w:ascii="Aptos" w:hAnsi="Aptos"/>
                <w:color w:val="1C2733"/>
                <w:sz w:val="14"/>
              </w:rPr>
              <w:t>SC-03</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Marks 4+3+4+3 but raw_total=15</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Rejected; raw_total must be 14.</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P0</w:t>
            </w:r>
          </w:p>
        </w:tc>
      </w:tr>
      <w:tr>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SC-04</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Evidence quote absent from candidate_response</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Rejected/retried; never rendered.</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P0</w:t>
            </w:r>
          </w:p>
        </w:tc>
      </w:tr>
      <w:tr>
        <w:tc>
          <w:tcPr>
            <w:tcW w:type="dxa" w:w="2541"/>
            <w:tcMar>
              <w:top w:w="75" w:type="dxa"/>
              <w:start w:w="85" w:type="dxa"/>
              <w:bottom w:w="75" w:type="dxa"/>
              <w:end w:w="85" w:type="dxa"/>
            </w:tcMar>
            <w:vAlign w:val="top"/>
          </w:tcPr>
          <w:p>
            <w:pPr>
              <w:spacing w:after="0" w:line="240" w:lineRule="auto"/>
            </w:pPr>
            <w:r>
              <w:rPr>
                <w:rFonts w:ascii="Aptos" w:hAnsi="Aptos"/>
                <w:color w:val="1C2733"/>
                <w:sz w:val="14"/>
              </w:rPr>
              <w:t>SC-05</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Band 4 rationale says only “between 3 and 5”</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Rejected; concrete adjacent-band evidence required.</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SC-06</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Missing task_prompt with confident Content/CA marks</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Rejected; status must be incomplete.</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P0</w:t>
            </w:r>
          </w:p>
        </w:tc>
      </w:tr>
      <w:tr>
        <w:tc>
          <w:tcPr>
            <w:tcW w:type="dxa" w:w="2541"/>
            <w:tcMar>
              <w:top w:w="75" w:type="dxa"/>
              <w:start w:w="85" w:type="dxa"/>
              <w:bottom w:w="75" w:type="dxa"/>
              <w:end w:w="85" w:type="dxa"/>
            </w:tcMar>
            <w:vAlign w:val="top"/>
          </w:tcPr>
          <w:p>
            <w:pPr>
              <w:spacing w:after="0" w:line="240" w:lineRule="auto"/>
            </w:pPr>
            <w:r>
              <w:rPr>
                <w:rFonts w:ascii="Aptos" w:hAnsi="Aptos"/>
                <w:color w:val="1C2733"/>
                <w:sz w:val="14"/>
              </w:rPr>
              <w:t>SC-07</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Output omits source/prompt/model version metadata</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Not production-valid.</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SC-08</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Learner history appears as scoring evidence</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Rejected.</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P0</w:t>
            </w:r>
          </w:p>
        </w:tc>
      </w:tr>
      <w:tr>
        <w:tc>
          <w:tcPr>
            <w:tcW w:type="dxa" w:w="2541"/>
            <w:tcMar>
              <w:top w:w="75" w:type="dxa"/>
              <w:start w:w="85" w:type="dxa"/>
              <w:bottom w:w="75" w:type="dxa"/>
              <w:end w:w="85" w:type="dxa"/>
            </w:tcMar>
            <w:vAlign w:val="top"/>
          </w:tcPr>
          <w:p>
            <w:pPr>
              <w:spacing w:after="0" w:line="240" w:lineRule="auto"/>
            </w:pPr>
            <w:r>
              <w:rPr>
                <w:rFonts w:ascii="Aptos" w:hAnsi="Aptos"/>
                <w:color w:val="1C2733"/>
                <w:sz w:val="14"/>
              </w:rPr>
              <w:t>SC-09</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One-task result labelled official Cambridge English Scale score</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Rejected.</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4"/>
              </w:rPr>
              <w:t>P0</w:t>
            </w:r>
          </w:p>
        </w:tc>
      </w:tr>
      <w:tr>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SC-10</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Feedback payload changes criterion mark from assessment_record</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Rejected.</w:t>
            </w:r>
          </w:p>
        </w:tc>
        <w:tc>
          <w:tcPr>
            <w:tcW w:type="dxa" w:w="2541"/>
            <w:shd w:fill="F8FAFC"/>
            <w:tcMar>
              <w:top w:w="75" w:type="dxa"/>
              <w:start w:w="85" w:type="dxa"/>
              <w:bottom w:w="75" w:type="dxa"/>
              <w:end w:w="85" w:type="dxa"/>
            </w:tcMar>
            <w:vAlign w:val="top"/>
          </w:tcPr>
          <w:p>
            <w:pPr>
              <w:spacing w:after="0" w:line="240" w:lineRule="auto"/>
            </w:pPr>
            <w:r>
              <w:rPr>
                <w:rFonts w:ascii="Aptos" w:hAnsi="Aptos"/>
                <w:color w:val="1C2733"/>
                <w:sz w:val="14"/>
              </w:rPr>
              <w:t>P0</w:t>
            </w:r>
          </w:p>
        </w:tc>
      </w:tr>
    </w:tbl>
    <w:p>
      <w:pPr>
        <w:spacing w:after="20"/>
      </w:pPr>
    </w:p>
    <w:p>
      <w:pPr>
        <w:pStyle w:val="Heading1"/>
        <w:pBdr>
          <w:bottom w:val="single" w:sz="8" w:space="2" w:color="EAF2F8"/>
        </w:pBdr>
      </w:pPr>
      <w:r>
        <w:t>5. Task Requirements acceptance tests</w:t>
      </w:r>
    </w:p>
    <w:p>
      <w:r>
        <w:rPr>
          <w:rFonts w:ascii="Aptos" w:hAnsi="Aptos"/>
        </w:rPr>
        <w:t>These tests derive from Document 01. They verify that downstream scoring receives correct task facts rather than invented conventions.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Test ID</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Scenario</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Expected engine behaviour</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TR-ESS-01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Essay has no title but fully answers the task.</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No automatic task failure or Cambridge deduction solely for missing title.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TR-ESS-02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Essay uses a coherent non-standard paragraph structure.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Accept structure if coherent and fully task-appropriate; do not force intro/body/conclusion formula.</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TR-EMI-01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Informal email uses friendly tone, contractions and suitable greeting/closing.</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Treat as appropriate convention evidence.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TR-EMF-01</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Formal email uses colloquial slang throughout.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Flag Communicative Achievement/register issue; Content remains independent.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TR-ART-01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Article lacks rhetorical question and catchy title but is engaging and task-complete.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No automatic CA deduction for missing optional techniques.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TR-REP-01</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Report lacks headings.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Content may still be complete; missing core report convention limits CA; Organisation depends on actual structure.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TR-REV-01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Review task does not request a recommendation and candidate omits one.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No automatic task failure.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TR-REV-02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Review task explicitly asks whether reader should choose it and candidate gives no judgement.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Requirement remains unfulfilled; Content/CA assessed accordingly.</w:t>
            </w:r>
          </w:p>
        </w:tc>
      </w:tr>
    </w:tbl>
    <w:p>
      <w:pPr>
        <w:spacing w:after="20"/>
      </w:pPr>
    </w:p>
    <w:p>
      <w:pPr>
        <w:pStyle w:val="Heading1"/>
        <w:pBdr>
          <w:bottom w:val="single" w:sz="8" w:space="2" w:color="EAF2F8"/>
        </w:pBdr>
      </w:pPr>
      <w:r>
        <w:t>6. Teacher DNA behavioural tests</w:t>
      </w:r>
    </w:p>
    <w:p>
      <w:r>
        <w:rPr>
          <w:rFonts w:ascii="Aptos" w:hAnsi="Aptos"/>
        </w:rPr>
        <w:t>These cases are adapted directly from the validation scenarios in Document 02 and must be converted into automated or human-reviewed prompt/integration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Test ID</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Scenario</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Expected behaviour</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Accurate but generic writing.</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Acknowledge control; identify filler/undeveloped content; suggest specificity without inventing a personal story.</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TD-02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Ambitious writing with many errors.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Recognise risk/originality; repair meaning failures; select a principal correction category; do not discourage experimentation.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TD-03</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Early-course unusual vocabulary.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Praise genuine attempt; correct context/collocation; keep as learning opportunity.</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TD-04</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Exam-ready script with unstable advanced vocabulary.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Recommend better-assimilated resources; prioritise natural controlled expression.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TD-05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Many spelling/punctuation mistakes but clear grammar.</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Comprehensive correction of the narrow category may be used because annotations are short and coherent.</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TD-06</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Many mixed grammar/structure/vocabulary problems.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Choose a focus category; address all meaning-blocking errors; record secondary future priorities.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TD-07</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Recurring third-person singular error with confirmed history.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Mark recurrence clearly; little repeated explanation; identify as urgent pattern.</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TD-08</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One isolated irregular-verb lapse in otherwise controlled writing.</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Brief correction, not a long lesson.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TD-09</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Abstract paragraph repeats the same claim.</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Ask for a concrete example/application/consequence/proposal/experience.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TD-10</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Rhetorical questions in an informal article.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Recognise engaging voice when Task Requirements support it.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TD-11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Rhetorical questions in a formal report.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Preserve idea but flag register mismatch via task requirements.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TD-12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Unusual but defensible phrase.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Do not auto-normalise; verify meaning, idiomatic acceptability and register first.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TD-13</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Connectors in every sentence.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Assess logical function; flag mechanical/redundant use rather than connector quantity.</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TD-14</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Feedback draft says only “wrong”.</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Fail feedback validation.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TD-15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Improved suggestion changes student opinion.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Fail authorship safeguard.</w:t>
            </w:r>
          </w:p>
        </w:tc>
      </w:tr>
    </w:tbl>
    <w:p>
      <w:pPr>
        <w:spacing w:after="20"/>
      </w:pPr>
    </w:p>
    <w:p>
      <w:pPr>
        <w:pStyle w:val="Heading1"/>
        <w:pBdr>
          <w:bottom w:val="single" w:sz="8" w:space="2" w:color="EAF2F8"/>
        </w:pBdr>
      </w:pPr>
      <w:r>
        <w:t>7. Official Cambridge golden calibration set</w:t>
      </w:r>
    </w:p>
    <w:p>
      <w:r>
        <w:rPr>
          <w:rFonts w:ascii="Aptos" w:hAnsi="Aptos"/>
        </w:rPr>
        <w:t>All twelve official calibration profiles from Document 03 are immutable golden references. Under a fixed production model/prompt/configuration, criterion marks must reproduce these profiles exactly. The implementation must compare reasoning, not memorise topic wording.</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83B65"/>
            <w:tcMar>
              <w:top w:w="90" w:type="dxa"/>
              <w:start w:w="90" w:type="dxa"/>
              <w:bottom w:w="90" w:type="dxa"/>
              <w:end w:w="90" w:type="dxa"/>
            </w:tcMar>
            <w:vAlign w:val="center"/>
          </w:tcPr>
          <w:p>
            <w:pPr>
              <w:spacing w:after="0"/>
            </w:pPr>
            <w:r>
              <w:rPr>
                <w:rFonts w:ascii="Aptos" w:hAnsi="Aptos"/>
                <w:b/>
                <w:color w:val="FFFFFF"/>
                <w:sz w:val="13"/>
              </w:rPr>
              <w:t>ID</w:t>
            </w:r>
          </w:p>
        </w:tc>
        <w:tc>
          <w:tcPr>
            <w:tcW w:type="dxa" w:w="1452"/>
            <w:shd w:fill="183B65"/>
            <w:tcMar>
              <w:top w:w="90" w:type="dxa"/>
              <w:start w:w="90" w:type="dxa"/>
              <w:bottom w:w="90" w:type="dxa"/>
              <w:end w:w="90" w:type="dxa"/>
            </w:tcMar>
            <w:vAlign w:val="center"/>
          </w:tcPr>
          <w:p>
            <w:pPr>
              <w:spacing w:after="0"/>
            </w:pPr>
            <w:r>
              <w:rPr>
                <w:rFonts w:ascii="Aptos" w:hAnsi="Aptos"/>
                <w:b/>
                <w:color w:val="FFFFFF"/>
                <w:sz w:val="13"/>
              </w:rPr>
              <w:t>Official case</w:t>
            </w:r>
          </w:p>
        </w:tc>
        <w:tc>
          <w:tcPr>
            <w:tcW w:type="dxa" w:w="1452"/>
            <w:shd w:fill="183B65"/>
            <w:tcMar>
              <w:top w:w="90" w:type="dxa"/>
              <w:start w:w="90" w:type="dxa"/>
              <w:bottom w:w="90" w:type="dxa"/>
              <w:end w:w="90" w:type="dxa"/>
            </w:tcMar>
            <w:vAlign w:val="center"/>
          </w:tcPr>
          <w:p>
            <w:pPr>
              <w:spacing w:after="0"/>
            </w:pPr>
            <w:r>
              <w:rPr>
                <w:rFonts w:ascii="Aptos" w:hAnsi="Aptos"/>
                <w:b/>
                <w:color w:val="FFFFFF"/>
                <w:sz w:val="13"/>
              </w:rPr>
              <w:t>C</w:t>
            </w:r>
          </w:p>
        </w:tc>
        <w:tc>
          <w:tcPr>
            <w:tcW w:type="dxa" w:w="1452"/>
            <w:shd w:fill="183B65"/>
            <w:tcMar>
              <w:top w:w="90" w:type="dxa"/>
              <w:start w:w="90" w:type="dxa"/>
              <w:bottom w:w="90" w:type="dxa"/>
              <w:end w:w="90" w:type="dxa"/>
            </w:tcMar>
            <w:vAlign w:val="center"/>
          </w:tcPr>
          <w:p>
            <w:pPr>
              <w:spacing w:after="0"/>
            </w:pPr>
            <w:r>
              <w:rPr>
                <w:rFonts w:ascii="Aptos" w:hAnsi="Aptos"/>
                <w:b/>
                <w:color w:val="FFFFFF"/>
                <w:sz w:val="13"/>
              </w:rPr>
              <w:t>CA</w:t>
            </w:r>
          </w:p>
        </w:tc>
        <w:tc>
          <w:tcPr>
            <w:tcW w:type="dxa" w:w="1452"/>
            <w:shd w:fill="183B65"/>
            <w:tcMar>
              <w:top w:w="90" w:type="dxa"/>
              <w:start w:w="90" w:type="dxa"/>
              <w:bottom w:w="90" w:type="dxa"/>
              <w:end w:w="90" w:type="dxa"/>
            </w:tcMar>
            <w:vAlign w:val="center"/>
          </w:tcPr>
          <w:p>
            <w:pPr>
              <w:spacing w:after="0"/>
            </w:pPr>
            <w:r>
              <w:rPr>
                <w:rFonts w:ascii="Aptos" w:hAnsi="Aptos"/>
                <w:b/>
                <w:color w:val="FFFFFF"/>
                <w:sz w:val="13"/>
              </w:rPr>
              <w:t>O</w:t>
            </w:r>
          </w:p>
        </w:tc>
        <w:tc>
          <w:tcPr>
            <w:tcW w:type="dxa" w:w="1452"/>
            <w:shd w:fill="183B65"/>
            <w:tcMar>
              <w:top w:w="90" w:type="dxa"/>
              <w:start w:w="90" w:type="dxa"/>
              <w:bottom w:w="90" w:type="dxa"/>
              <w:end w:w="90" w:type="dxa"/>
            </w:tcMar>
            <w:vAlign w:val="center"/>
          </w:tcPr>
          <w:p>
            <w:pPr>
              <w:spacing w:after="0"/>
            </w:pPr>
            <w:r>
              <w:rPr>
                <w:rFonts w:ascii="Aptos" w:hAnsi="Aptos"/>
                <w:b/>
                <w:color w:val="FFFFFF"/>
                <w:sz w:val="13"/>
              </w:rPr>
              <w:t>L</w:t>
            </w:r>
          </w:p>
        </w:tc>
        <w:tc>
          <w:tcPr>
            <w:tcW w:type="dxa" w:w="1452"/>
            <w:shd w:fill="183B65"/>
            <w:tcMar>
              <w:top w:w="90" w:type="dxa"/>
              <w:start w:w="90" w:type="dxa"/>
              <w:bottom w:w="90" w:type="dxa"/>
              <w:end w:w="90" w:type="dxa"/>
            </w:tcMar>
            <w:vAlign w:val="center"/>
          </w:tcPr>
          <w:p>
            <w:pPr>
              <w:spacing w:after="0"/>
            </w:pPr>
            <w:r>
              <w:rPr>
                <w:rFonts w:ascii="Aptos" w:hAnsi="Aptos"/>
                <w:b/>
                <w:color w:val="FFFFFF"/>
                <w:sz w:val="13"/>
              </w:rPr>
              <w:t>Primary calibration lesson</w:t>
            </w:r>
          </w:p>
        </w:tc>
      </w:tr>
      <w:tr>
        <w:tc>
          <w:tcPr>
            <w:tcW w:type="dxa" w:w="1452"/>
            <w:tcMar>
              <w:top w:w="75" w:type="dxa"/>
              <w:start w:w="85" w:type="dxa"/>
              <w:bottom w:w="75" w:type="dxa"/>
              <w:end w:w="85" w:type="dxa"/>
            </w:tcMar>
            <w:vAlign w:val="top"/>
          </w:tcPr>
          <w:p>
            <w:pPr>
              <w:spacing w:after="0" w:line="240" w:lineRule="auto"/>
            </w:pPr>
            <w:r>
              <w:rPr>
                <w:rFonts w:ascii="Aptos" w:hAnsi="Aptos"/>
                <w:color w:val="1C2733"/>
                <w:sz w:val="13"/>
              </w:rPr>
              <w:t>G-01</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Digital · environmental essay A</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Near-complete Content stops at 4 when third aspect/full solutions are missing.</w:t>
            </w:r>
          </w:p>
        </w:tc>
      </w:tr>
      <w:tr>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G-02</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Digital · environmental essay B</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Relevant discussion does not fully answer the central question.</w:t>
            </w:r>
          </w:p>
        </w:tc>
      </w:tr>
      <w:tr>
        <w:tc>
          <w:tcPr>
            <w:tcW w:type="dxa" w:w="1452"/>
            <w:tcMar>
              <w:top w:w="75" w:type="dxa"/>
              <w:start w:w="85" w:type="dxa"/>
              <w:bottom w:w="75" w:type="dxa"/>
              <w:end w:w="85" w:type="dxa"/>
            </w:tcMar>
            <w:vAlign w:val="top"/>
          </w:tcPr>
          <w:p>
            <w:pPr>
              <w:spacing w:after="0" w:line="240" w:lineRule="auto"/>
            </w:pPr>
            <w:r>
              <w:rPr>
                <w:rFonts w:ascii="Aptos" w:hAnsi="Aptos"/>
                <w:color w:val="1C2733"/>
                <w:sz w:val="13"/>
              </w:rPr>
              <w:t>G-03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Digital · environmental essay C</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High performance can still have Organisation 4.</w:t>
            </w:r>
          </w:p>
        </w:tc>
      </w:tr>
      <w:tr>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G-04</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Digital · book review D</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Complete task fulfilment can coexist with straightforward Band 3 execution.</w:t>
            </w:r>
          </w:p>
        </w:tc>
      </w:tr>
      <w:tr>
        <w:tc>
          <w:tcPr>
            <w:tcW w:type="dxa" w:w="1452"/>
            <w:tcMar>
              <w:top w:w="75" w:type="dxa"/>
              <w:start w:w="85" w:type="dxa"/>
              <w:bottom w:w="75" w:type="dxa"/>
              <w:end w:w="85" w:type="dxa"/>
            </w:tcMar>
            <w:vAlign w:val="top"/>
          </w:tcPr>
          <w:p>
            <w:pPr>
              <w:spacing w:after="0" w:line="240" w:lineRule="auto"/>
            </w:pPr>
            <w:r>
              <w:rPr>
                <w:rFonts w:ascii="Aptos" w:hAnsi="Aptos"/>
                <w:color w:val="1C2733"/>
                <w:sz w:val="13"/>
              </w:rPr>
              <w:t>G-05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Digital · useful-thing article E</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Detailed task completion does not automatically raise other criteria.</w:t>
            </w:r>
          </w:p>
        </w:tc>
      </w:tr>
      <w:tr>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G-06</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Digital · informal email F</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Strong structure/reference can produce Organisation 4.</w:t>
            </w:r>
          </w:p>
        </w:tc>
      </w:tr>
      <w:tr>
        <w:tc>
          <w:tcPr>
            <w:tcW w:type="dxa" w:w="1452"/>
            <w:tcMar>
              <w:top w:w="75" w:type="dxa"/>
              <w:start w:w="85" w:type="dxa"/>
              <w:bottom w:w="75" w:type="dxa"/>
              <w:end w:w="85" w:type="dxa"/>
            </w:tcMar>
            <w:vAlign w:val="top"/>
          </w:tcPr>
          <w:p>
            <w:pPr>
              <w:spacing w:after="0" w:line="240" w:lineRule="auto"/>
            </w:pPr>
            <w:r>
              <w:rPr>
                <w:rFonts w:ascii="Aptos" w:hAnsi="Aptos"/>
                <w:color w:val="1C2733"/>
                <w:sz w:val="13"/>
              </w:rPr>
              <w:t>G-07</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Paper · fashion essay A</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2</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2</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2</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Content is independent of weak execution.</w:t>
            </w:r>
          </w:p>
        </w:tc>
      </w:tr>
      <w:tr>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G-08</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Paper · fashion essay B</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Cross-sentence reference raises Organisation above CA/Language.</w:t>
            </w:r>
          </w:p>
        </w:tc>
      </w:tr>
      <w:tr>
        <w:tc>
          <w:tcPr>
            <w:tcW w:type="dxa" w:w="1452"/>
            <w:tcMar>
              <w:top w:w="75" w:type="dxa"/>
              <w:start w:w="85" w:type="dxa"/>
              <w:bottom w:w="75" w:type="dxa"/>
              <w:end w:w="85" w:type="dxa"/>
            </w:tcMar>
            <w:vAlign w:val="top"/>
          </w:tcPr>
          <w:p>
            <w:pPr>
              <w:spacing w:after="0" w:line="240" w:lineRule="auto"/>
            </w:pPr>
            <w:r>
              <w:rPr>
                <w:rFonts w:ascii="Aptos" w:hAnsi="Aptos"/>
                <w:color w:val="1C2733"/>
                <w:sz w:val="13"/>
              </w:rPr>
              <w:t>G-09</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Paper · fashion essay C</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Full high-band profile.</w:t>
            </w:r>
          </w:p>
        </w:tc>
      </w:tr>
      <w:tr>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G-10</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Paper · technology report D</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Strong genre/organisation can coexist with Language 3.</w:t>
            </w:r>
          </w:p>
        </w:tc>
      </w:tr>
      <w:tr>
        <w:tc>
          <w:tcPr>
            <w:tcW w:type="dxa" w:w="1452"/>
            <w:tcMar>
              <w:top w:w="75" w:type="dxa"/>
              <w:start w:w="85" w:type="dxa"/>
              <w:bottom w:w="75" w:type="dxa"/>
              <w:end w:w="85" w:type="dxa"/>
            </w:tcMar>
            <w:vAlign w:val="top"/>
          </w:tcPr>
          <w:p>
            <w:pPr>
              <w:spacing w:after="0" w:line="240" w:lineRule="auto"/>
            </w:pPr>
            <w:r>
              <w:rPr>
                <w:rFonts w:ascii="Aptos" w:hAnsi="Aptos"/>
                <w:color w:val="1C2733"/>
                <w:sz w:val="13"/>
              </w:rPr>
              <w:t>G-11</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Paper · music article E</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2</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2</w:t>
            </w:r>
          </w:p>
        </w:tc>
        <w:tc>
          <w:tcPr>
            <w:tcW w:type="dxa" w:w="1452"/>
            <w:tcMar>
              <w:top w:w="75" w:type="dxa"/>
              <w:start w:w="85" w:type="dxa"/>
              <w:bottom w:w="75" w:type="dxa"/>
              <w:end w:w="85" w:type="dxa"/>
            </w:tcMar>
            <w:vAlign w:val="top"/>
          </w:tcPr>
          <w:p>
            <w:pPr>
              <w:spacing w:after="0" w:line="240" w:lineRule="auto"/>
            </w:pPr>
            <w:r>
              <w:rPr>
                <w:rFonts w:ascii="Aptos" w:hAnsi="Aptos"/>
                <w:color w:val="1C2733"/>
                <w:sz w:val="13"/>
              </w:rPr>
              <w:t>Underdeveloped task relationship + list-like organisation + narrow range.</w:t>
            </w:r>
          </w:p>
        </w:tc>
      </w:tr>
      <w:tr>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G-12</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Paper · course review F</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5</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4</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3</w:t>
            </w:r>
          </w:p>
        </w:tc>
        <w:tc>
          <w:tcPr>
            <w:tcW w:type="dxa" w:w="1452"/>
            <w:shd w:fill="F8FAFC"/>
            <w:tcMar>
              <w:top w:w="75" w:type="dxa"/>
              <w:start w:w="85" w:type="dxa"/>
              <w:bottom w:w="75" w:type="dxa"/>
              <w:end w:w="85" w:type="dxa"/>
            </w:tcMar>
            <w:vAlign w:val="top"/>
          </w:tcPr>
          <w:p>
            <w:pPr>
              <w:spacing w:after="0" w:line="240" w:lineRule="auto"/>
            </w:pPr>
            <w:r>
              <w:rPr>
                <w:rFonts w:ascii="Aptos" w:hAnsi="Aptos"/>
                <w:color w:val="1C2733"/>
                <w:sz w:val="13"/>
              </w:rPr>
              <w:t>Clear paragraph functions/reference support Organisation 4.</w:t>
            </w:r>
          </w:p>
        </w:tc>
      </w:tr>
    </w:tbl>
    <w:p>
      <w:pPr>
        <w:spacing w:after="20"/>
      </w:pPr>
    </w:p>
    <w:p>
      <w:pPr>
        <w:pStyle w:val="Heading2"/>
      </w:pPr>
      <w:r>
        <w:t>7.1 Golden test execution rules</w:t>
      </w:r>
    </w:p>
    <w:p>
      <w:pPr>
        <w:pStyle w:val="ListBullet"/>
      </w:pPr>
      <w:r>
        <w:rPr>
          <w:rFonts w:ascii="Aptos" w:hAnsi="Aptos"/>
          <w:sz w:val="18"/>
        </w:rPr>
        <w:t>Run the exact official scripts/tasks stored in the calibration fixtures; do not substitute paraphrased learner text.</w:t>
      </w:r>
    </w:p>
    <w:p>
      <w:pPr>
        <w:pStyle w:val="ListBullet"/>
      </w:pPr>
      <w:r>
        <w:rPr>
          <w:rFonts w:ascii="Aptos" w:hAnsi="Aptos"/>
          <w:sz w:val="18"/>
        </w:rPr>
        <w:t>Expected criterion profile is exact. A correct total with incorrect criterion distribution fails.</w:t>
      </w:r>
    </w:p>
    <w:p>
      <w:pPr>
        <w:pStyle w:val="ListBullet"/>
      </w:pPr>
      <w:r>
        <w:rPr>
          <w:rFonts w:ascii="Aptos" w:hAnsi="Aptos"/>
          <w:sz w:val="18"/>
        </w:rPr>
        <w:t>Each rationale must be criterion-specific, quote real text evidence and explain the ceiling to the next band.</w:t>
      </w:r>
    </w:p>
    <w:p>
      <w:pPr>
        <w:pStyle w:val="ListBullet"/>
      </w:pPr>
      <w:r>
        <w:rPr>
          <w:rFonts w:ascii="Aptos" w:hAnsi="Aptos"/>
          <w:sz w:val="18"/>
        </w:rPr>
        <w:t>If production generation is nondeterministic, run each golden fixture at least three times under the production configuration. Any criterion mismatch is release-blocking until reviewed.</w:t>
      </w:r>
    </w:p>
    <w:p>
      <w:pPr>
        <w:pStyle w:val="ListBullet"/>
      </w:pPr>
      <w:r>
        <w:rPr>
          <w:rFonts w:ascii="Aptos" w:hAnsi="Aptos"/>
          <w:sz w:val="18"/>
        </w:rPr>
        <w:t>Any model/prompt change that alters an official golden mark requires teacher review before release.</w:t>
      </w:r>
    </w:p>
    <w:p>
      <w:pPr>
        <w:pStyle w:val="Heading1"/>
        <w:pBdr>
          <w:bottom w:val="single" w:sz="8" w:space="2" w:color="EAF2F8"/>
        </w:pBdr>
      </w:pPr>
      <w:r>
        <w:t>8. Borderline and criterion-boundary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Test ID</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Scenario</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Required decision behaviour</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CB-C45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All mandatory points present; one required explanation only mentioned.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Content must not auto-receive 5. Compare 4 vs 3 based on size/centrality of missing development.</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CB-C34</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Central task answered; one secondary aspect thin.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Band 4 can be valid when meaningfully closer to complete than “on the whole informed”.</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CB-C23</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Substantial completion visible but reader cannot be described as on-the-whole informed.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Prefer Band 2 over Band 3.</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CB-CA45</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Genre/register strong and often effective, but complex/flexible communication not sustained.</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Band 4; do not award 5 for surface appropriacy alone.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CB-O45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Strong paragraphs with limited cross-paragraph cohesion.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Band 4; Band 5 requires sustained text-level control.</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CB-O23</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Understandable sentences but list-like whole-text progression.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Band 2 possible; Band 3 requires global coherence overall.</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CB-L45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Broad range with some insecure high-band forms; communication reliable.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Band 4; Band 5 requires sustained range + control + flexibility.</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CB-L23</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Some B2 resources, repeated instability/local repair.</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Band 2; Band 3 requires good control and non-impeding errors.</w:t>
            </w:r>
          </w:p>
        </w:tc>
      </w:tr>
    </w:tbl>
    <w:p>
      <w:pPr>
        <w:spacing w:after="20"/>
      </w:pPr>
    </w:p>
    <w:p>
      <w:pPr>
        <w:pStyle w:val="Heading1"/>
        <w:pBdr>
          <w:bottom w:val="single" w:sz="8" w:space="2" w:color="EAF2F8"/>
        </w:pBdr>
      </w:pPr>
      <w:r>
        <w:t>9. Cambridge regression / forbidden-behaviour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Test ID</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Forbidden behaviour</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Fail condition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REG-01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Error counting</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Score or rationale depends on number/percentage of grammar errors.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REG-02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Connector counting</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Organisation score derived from number of linking words.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REG-03</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Paragraph counting</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Organisation score derived from paragraph count.</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REG-04</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Optional-genre checklist penalty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Missing title/rhetorical question/etc. automatically reduces score when not mandatory.</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REG-05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Word-count penalty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Fixed deduction for under/over 140–190 words.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REG-06</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Score smoothing</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Asymmetric profile adjusted because it “looks strange”.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REG-07</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Length reward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Longer answer gets higher mark without better fulfilment/evidence.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REG-08</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Vocabulary rarity proxy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Rare word automatically treated as stronger Language evidence.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REG-09</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Cross-criterion compensation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High Language repairs missing Content or high Content lifts Language.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REG-10</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Task fabrication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Missing task prompt is guessed and scored confidently.</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REG-11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One-task scale conversion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/20 is doubled or labelled as official Cambridge English Scale result.</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REG-12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Generic examiner copy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Rationale uses generic band language without actual response evidence.</w:t>
            </w:r>
          </w:p>
        </w:tc>
      </w:tr>
    </w:tbl>
    <w:p>
      <w:pPr>
        <w:spacing w:after="20"/>
      </w:pPr>
    </w:p>
    <w:p>
      <w:pPr>
        <w:pStyle w:val="Heading1"/>
        <w:pBdr>
          <w:bottom w:val="single" w:sz="8" w:space="2" w:color="EAF2F8"/>
        </w:pBdr>
      </w:pPr>
      <w:r>
        <w:t>10. Special-case acceptance tests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83B65"/>
            <w:tcMar>
              <w:top w:w="90" w:type="dxa"/>
              <w:start w:w="90" w:type="dxa"/>
              <w:bottom w:w="90" w:type="dxa"/>
              <w:end w:w="90" w:type="dxa"/>
            </w:tcMar>
            <w:vAlign w:val="center"/>
          </w:tcPr>
          <w:p>
            <w:pPr>
              <w:spacing w:after="0"/>
            </w:pPr>
            <w:r>
              <w:rPr>
                <w:rFonts w:ascii="Aptos" w:hAnsi="Aptos"/>
                <w:b/>
                <w:color w:val="FFFFFF"/>
                <w:sz w:val="14"/>
              </w:rPr>
              <w:t>Scenario</w:t>
            </w:r>
          </w:p>
        </w:tc>
        <w:tc>
          <w:tcPr>
            <w:tcW w:type="dxa" w:w="5083"/>
            <w:shd w:fill="183B65"/>
            <w:tcMar>
              <w:top w:w="90" w:type="dxa"/>
              <w:start w:w="90" w:type="dxa"/>
              <w:bottom w:w="90" w:type="dxa"/>
              <w:end w:w="90" w:type="dxa"/>
            </w:tcMar>
            <w:vAlign w:val="center"/>
          </w:tcPr>
          <w:p>
            <w:pPr>
              <w:spacing w:after="0"/>
            </w:pPr>
            <w:r>
              <w:rPr>
                <w:rFonts w:ascii="Aptos" w:hAnsi="Aptos"/>
                <w:b/>
                <w:color w:val="FFFFFF"/>
                <w:sz w:val="14"/>
              </w:rPr>
              <w:t>Expected result</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120-word response that efficiently fulfils a simple task</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No automatic length penalty; assess actual fulfilment, range and evidence sufficiency.</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230-word response that remains relevant/coherent</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No automatic length penalty.</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Wrong task answered</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Content may be 0/very low relative to selected task; do not silently reassociate response.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Correct topic, wrong communicative function</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Relevant discussion can still leave Content/CA incomplete.</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Wrong genre but all required information present</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Primary impact CA; Content may remain complete.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Many errors but communication clear</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Language may still reach Band 3+ when range/control support it; other criteria independent.</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Almost error-free but only simple present/basic vocabulary</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Language limited by range; accuracy alone insufficient.</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Ambitious vocabulary with occasional non-impeding errors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Reward successful range; do not punish ambition automatically.</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Copied task wording</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Do not count copied prompt text as independent range/development.</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Non-English passages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Do not translate missing content on candidate’s behalf.</w:t>
            </w:r>
          </w:p>
        </w:tc>
      </w:tr>
    </w:tbl>
    <w:p>
      <w:pPr>
        <w:spacing w:after="20"/>
      </w:pPr>
    </w:p>
    <w:p>
      <w:pPr>
        <w:pStyle w:val="Heading1"/>
        <w:pBdr>
          <w:bottom w:val="single" w:sz="8" w:space="2" w:color="EAF2F8"/>
        </w:pBdr>
      </w:pPr>
      <w:r>
        <w:t>11. Evidence traceability tests</w:t>
      </w:r>
    </w:p>
    <w:p>
      <w:pPr>
        <w:pStyle w:val="ListBullet"/>
      </w:pPr>
      <w:r>
        <w:rPr>
          <w:rFonts w:ascii="Aptos" w:hAnsi="Aptos"/>
          <w:sz w:val="18"/>
        </w:rPr>
        <w:t>Every learner-facing substantive claim can be traced to candidate text, task requirement, assessment evidence or verified learner history.</w:t>
      </w:r>
    </w:p>
    <w:p>
      <w:pPr>
        <w:pStyle w:val="ListBullet"/>
      </w:pPr>
      <w:r>
        <w:rPr>
          <w:rFonts w:ascii="Aptos" w:hAnsi="Aptos"/>
          <w:sz w:val="18"/>
        </w:rPr>
        <w:t>Every assessment quote exists exactly in the submitted text after the defined normalisation step.</w:t>
      </w:r>
    </w:p>
    <w:p>
      <w:pPr>
        <w:pStyle w:val="ListBullet"/>
      </w:pPr>
      <w:r>
        <w:rPr>
          <w:rFonts w:ascii="Aptos" w:hAnsi="Aptos"/>
          <w:sz w:val="18"/>
        </w:rPr>
        <w:t>When the same feature affects two criteria, the rationales identify two different official constructs.</w:t>
      </w:r>
    </w:p>
    <w:p>
      <w:pPr>
        <w:pStyle w:val="ListBullet"/>
      </w:pPr>
      <w:r>
        <w:rPr>
          <w:rFonts w:ascii="Aptos" w:hAnsi="Aptos"/>
          <w:sz w:val="18"/>
        </w:rPr>
        <w:t>A displayed local annotation maps to a stored observation ID and deterministic text span.</w:t>
      </w:r>
    </w:p>
    <w:p>
      <w:pPr>
        <w:pStyle w:val="ListBullet"/>
      </w:pPr>
      <w:r>
        <w:rPr>
          <w:rFonts w:ascii="Aptos" w:hAnsi="Aptos"/>
          <w:sz w:val="18"/>
        </w:rPr>
        <w:t>Expanded criterion feedback references evidence that belongs to that criterion; it does not invent new scoring reasons.</w:t>
      </w:r>
    </w:p>
    <w:p>
      <w:pPr>
        <w:pStyle w:val="ListBullet"/>
      </w:pPr>
      <w:r>
        <w:rPr>
          <w:rFonts w:ascii="Aptos" w:hAnsi="Aptos"/>
          <w:sz w:val="18"/>
        </w:rPr>
        <w:t>Opening strengths are a subset of genuine positive observations, not randomly generated praise.</w:t>
      </w:r>
    </w:p>
    <w:p>
      <w:pPr>
        <w:pStyle w:val="ListBullet"/>
      </w:pPr>
      <w:r>
        <w:rPr>
          <w:rFonts w:ascii="Aptos" w:hAnsi="Aptos"/>
          <w:sz w:val="18"/>
        </w:rPr>
        <w:t>Review-next concepts are traceable to observation/pedagogical priority and are not generic course recommendations.</w:t>
      </w:r>
    </w:p>
    <w:p>
      <w:pPr>
        <w:pStyle w:val="Heading1"/>
        <w:pBdr>
          <w:bottom w:val="single" w:sz="8" w:space="2" w:color="EAF2F8"/>
        </w:pBdr>
      </w:pPr>
      <w:r>
        <w:t>12. Feedback quality and progressive-disclosure tests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Test ID</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Component</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Pass condition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FB-01</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Opening strengths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2–3 genuine strengths where available; specific and evidence-based.</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FB-02</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Simple spelling annotation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Correction is concise; no unnecessary mini-lesson.</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FB-03</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Grammar annotation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Explains the relevant problem when required and provides a useful structure/change.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FB-04</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Organisation annotation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Names the connection/flow issue and gives a clearer alternative or route.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FB-05</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Criterion summary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Compact but meaningful; explains dominant reason for mark in 2–3 lines.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FB-06</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Criterion expanded detail</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Substantially richer than summary; includes what worked, limiting evidence, text evidence and next-band guidance where supportable.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FB-07</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Review next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Short list of reusable concepts; no invented links in v1.</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FB-08</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Tone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Feels like expert teacher feedback; avoids “AI-generated” framing and generic machine-like copy.</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FB-09</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Authorship</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Suggested changes preserve student’s idea/voice unless task appropriacy requires adjustment.</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FB-10</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Overload</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Mixed high-error scripts do not become an exhaustive wall of explanations.</w:t>
            </w:r>
          </w:p>
        </w:tc>
      </w:tr>
    </w:tbl>
    <w:p>
      <w:pPr>
        <w:spacing w:after="20"/>
      </w:pPr>
    </w:p>
    <w:p>
      <w:pPr>
        <w:pStyle w:val="Heading1"/>
        <w:pBdr>
          <w:bottom w:val="single" w:sz="8" w:space="2" w:color="EAF2F8"/>
        </w:pBdr>
      </w:pPr>
      <w:r>
        <w:t>13. UX interaction acceptance — desktop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Requirement</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Pass condition</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Severity</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Writing is the interface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Writing is the largest/most visually dominant content surface.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Clean initial state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Annotations are visible discreetly; page does not look saturated.</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Positive reinforcement first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2–3 strengths receive additional prominence at entry.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P2</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Score secondary</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Global /20 visible but not the visual hero.</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P2</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Click only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Feedback opens on click; no hover preview.</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One active bubble default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Opening a new annotated span closes the active bubble.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Adaptive content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Bubble depth changes by issue type.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P2</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Criterion layer below map</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All four Cambridge criteria visible below writing.</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Progressive disclosure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Summary + expanded detail both available.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P1</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Review next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Plain-text concepts shown after criterion feedback.</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P2</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Final CTA</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Primary final action is “Write another task”.</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P2</w:t>
            </w:r>
          </w:p>
        </w:tc>
      </w:tr>
    </w:tbl>
    <w:p>
      <w:pPr>
        <w:spacing w:after="20"/>
      </w:pPr>
    </w:p>
    <w:p>
      <w:pPr>
        <w:pStyle w:val="Heading1"/>
        <w:pBdr>
          <w:bottom w:val="single" w:sz="8" w:space="2" w:color="EAF2F8"/>
        </w:pBdr>
      </w:pPr>
      <w:r>
        <w:t>14. UX interaction acceptance — mobile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83B65"/>
            <w:tcMar>
              <w:top w:w="90" w:type="dxa"/>
              <w:start w:w="90" w:type="dxa"/>
              <w:bottom w:w="90" w:type="dxa"/>
              <w:end w:w="90" w:type="dxa"/>
            </w:tcMar>
            <w:vAlign w:val="center"/>
          </w:tcPr>
          <w:p>
            <w:pPr>
              <w:spacing w:after="0"/>
            </w:pPr>
            <w:r>
              <w:rPr>
                <w:rFonts w:ascii="Aptos" w:hAnsi="Aptos"/>
                <w:b/>
                <w:color w:val="FFFFFF"/>
                <w:sz w:val="14"/>
              </w:rPr>
              <w:t>Requirement</w:t>
            </w:r>
          </w:p>
        </w:tc>
        <w:tc>
          <w:tcPr>
            <w:tcW w:type="dxa" w:w="5083"/>
            <w:shd w:fill="183B65"/>
            <w:tcMar>
              <w:top w:w="90" w:type="dxa"/>
              <w:start w:w="90" w:type="dxa"/>
              <w:bottom w:w="90" w:type="dxa"/>
              <w:end w:w="90" w:type="dxa"/>
            </w:tcMar>
            <w:vAlign w:val="center"/>
          </w:tcPr>
          <w:p>
            <w:pPr>
              <w:spacing w:after="0"/>
            </w:pPr>
            <w:r>
              <w:rPr>
                <w:rFonts w:ascii="Aptos" w:hAnsi="Aptos"/>
                <w:b/>
                <w:color w:val="FFFFFF"/>
                <w:sz w:val="14"/>
              </w:rPr>
              <w:t>Pass condition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Tap target</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Annotated spans can be activated reliably by touch without precision tapping.</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Bottom sheet</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Tap opens feedback in a lower-edge slide-up/bottom-sheet pattern.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Context preservation</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Learner can still identify which writing fragment the panel refers to.</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Close behaviour</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Panel can be closed using the implemented DRALO-consistent affordance without trapping focus.</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No desktop tooltip clone</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Do not force a floating desktop bubble into cramped mobile space.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Responsive geometry</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Height/snap/breakpoints follow current DRALO responsive system and do not cover unusable portions of the writing.</w:t>
            </w:r>
          </w:p>
        </w:tc>
      </w:tr>
    </w:tbl>
    <w:p>
      <w:pPr>
        <w:spacing w:after="20"/>
      </w:pPr>
    </w:p>
    <w:p>
      <w:pPr>
        <w:pStyle w:val="Heading1"/>
        <w:pBdr>
          <w:bottom w:val="single" w:sz="8" w:space="2" w:color="EAF2F8"/>
        </w:pBdr>
      </w:pPr>
      <w:r>
        <w:t>15. Visual compatibility acceptance</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pPr>
              <w:spacing w:before="0" w:after="0" w:line="259" w:lineRule="auto"/>
            </w:pPr>
            <w:r>
              <w:rPr>
                <w:rFonts w:ascii="Aptos" w:hAnsi="Aptos"/>
                <w:b/>
                <w:color w:val="183B65"/>
                <w:sz w:val="19"/>
              </w:rPr>
              <w:t>The conceptual mock-up defines architecture, not a replacement design system. Current DRALO code/design tokens are the visual source of truth.</w:t>
            </w:r>
          </w:p>
        </w:tc>
      </w:tr>
    </w:tbl>
    <w:p>
      <w:pPr>
        <w:pStyle w:val="ListBullet"/>
      </w:pPr>
      <w:r>
        <w:rPr>
          <w:rFonts w:ascii="Aptos" w:hAnsi="Aptos"/>
          <w:sz w:val="18"/>
        </w:rPr>
        <w:t>Existing DRALO navigation/page shell remains unchanged unless a separately approved redesign is documented.</w:t>
      </w:r>
    </w:p>
    <w:p>
      <w:pPr>
        <w:pStyle w:val="ListBullet"/>
      </w:pPr>
      <w:r>
        <w:rPr>
          <w:rFonts w:ascii="Aptos" w:hAnsi="Aptos"/>
          <w:sz w:val="18"/>
        </w:rPr>
        <w:t>Existing typography, spacing scale, container widths, card language, radii, shadows and primary CTA styles are reused where equivalents exist.</w:t>
      </w:r>
    </w:p>
    <w:p>
      <w:pPr>
        <w:pStyle w:val="ListBullet"/>
      </w:pPr>
      <w:r>
        <w:rPr>
          <w:rFonts w:ascii="Aptos" w:hAnsi="Aptos"/>
          <w:sz w:val="18"/>
        </w:rPr>
        <w:t>Existing CSS variables / Tailwind theme / design tokens are reused.</w:t>
      </w:r>
    </w:p>
    <w:p>
      <w:pPr>
        <w:pStyle w:val="ListBullet"/>
      </w:pPr>
      <w:r>
        <w:rPr>
          <w:rFonts w:ascii="Aptos" w:hAnsi="Aptos"/>
          <w:sz w:val="18"/>
        </w:rPr>
        <w:t>No new global palette is introduced because of the mock-up.</w:t>
      </w:r>
    </w:p>
    <w:p>
      <w:pPr>
        <w:pStyle w:val="ListBullet"/>
      </w:pPr>
      <w:r>
        <w:rPr>
          <w:rFonts w:ascii="Aptos" w:hAnsi="Aptos"/>
          <w:sz w:val="18"/>
        </w:rPr>
        <w:t>Semantic feedback colours are additive and must use the approved legend once resolved.</w:t>
      </w:r>
    </w:p>
    <w:p>
      <w:pPr>
        <w:pStyle w:val="ListBullet"/>
      </w:pPr>
      <w:r>
        <w:rPr>
          <w:rFonts w:ascii="Aptos" w:hAnsi="Aptos"/>
          <w:sz w:val="18"/>
        </w:rPr>
        <w:t>No unrelated product area is visually redesigned during the Writing Engine implementation.</w:t>
      </w:r>
    </w:p>
    <w:p>
      <w:pPr>
        <w:pStyle w:val="Heading2"/>
      </w:pPr>
      <w:r>
        <w:t>15.1 Visual regression evidence required</w:t>
      </w:r>
    </w:p>
    <w:p>
      <w:pPr>
        <w:pStyle w:val="ListNumber"/>
      </w:pPr>
      <w:r>
        <w:rPr>
          <w:rFonts w:ascii="Aptos" w:hAnsi="Aptos"/>
          <w:sz w:val="18"/>
        </w:rPr>
        <w:t>Capture baseline screenshots of current DRALO Writing page at agreed desktop and mobile widths before UI changes.</w:t>
      </w:r>
    </w:p>
    <w:p>
      <w:pPr>
        <w:pStyle w:val="ListNumber"/>
      </w:pPr>
      <w:r>
        <w:rPr>
          <w:rFonts w:ascii="Aptos" w:hAnsi="Aptos"/>
          <w:sz w:val="18"/>
        </w:rPr>
        <w:t>Capture the new Writing feedback page at the same widths after implementation.</w:t>
      </w:r>
    </w:p>
    <w:p>
      <w:pPr>
        <w:pStyle w:val="ListNumber"/>
      </w:pPr>
      <w:r>
        <w:rPr>
          <w:rFonts w:ascii="Aptos" w:hAnsi="Aptos"/>
          <w:sz w:val="18"/>
        </w:rPr>
        <w:t>Review side-by-side for navigation, typography, spacing, component family and general product continuity.</w:t>
      </w:r>
    </w:p>
    <w:p>
      <w:pPr>
        <w:pStyle w:val="ListNumber"/>
      </w:pPr>
      <w:r>
        <w:rPr>
          <w:rFonts w:ascii="Aptos" w:hAnsi="Aptos"/>
          <w:sz w:val="18"/>
        </w:rPr>
        <w:t>Review against Document 04 conceptual mock-up only for architecture/hierarchy/interaction, not for palette or exact pixels.</w:t>
      </w:r>
    </w:p>
    <w:p>
      <w:pPr>
        <w:pStyle w:val="ListNumber"/>
      </w:pPr>
      <w:r>
        <w:rPr>
          <w:rFonts w:ascii="Aptos" w:hAnsi="Aptos"/>
          <w:sz w:val="18"/>
        </w:rPr>
        <w:t>Record any intentional visual divergence with an explicit approval note.</w:t>
      </w:r>
    </w:p>
    <w:p>
      <w:pPr>
        <w:pStyle w:val="Heading1"/>
        <w:pBdr>
          <w:bottom w:val="single" w:sz="8" w:space="2" w:color="EAF2F8"/>
        </w:pBdr>
      </w:pPr>
      <w:r>
        <w:t>16. Accessibility acceptance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83B65"/>
            <w:tcMar>
              <w:top w:w="90" w:type="dxa"/>
              <w:start w:w="90" w:type="dxa"/>
              <w:bottom w:w="90" w:type="dxa"/>
              <w:end w:w="90" w:type="dxa"/>
            </w:tcMar>
            <w:vAlign w:val="center"/>
          </w:tcPr>
          <w:p>
            <w:pPr>
              <w:spacing w:after="0"/>
            </w:pPr>
            <w:r>
              <w:rPr>
                <w:rFonts w:ascii="Aptos" w:hAnsi="Aptos"/>
                <w:b/>
                <w:color w:val="FFFFFF"/>
                <w:sz w:val="14"/>
              </w:rPr>
              <w:t>Area</w:t>
            </w:r>
          </w:p>
        </w:tc>
        <w:tc>
          <w:tcPr>
            <w:tcW w:type="dxa" w:w="5083"/>
            <w:shd w:fill="183B65"/>
            <w:tcMar>
              <w:top w:w="90" w:type="dxa"/>
              <w:start w:w="90" w:type="dxa"/>
              <w:bottom w:w="90" w:type="dxa"/>
              <w:end w:w="90" w:type="dxa"/>
            </w:tcMar>
            <w:vAlign w:val="center"/>
          </w:tcPr>
          <w:p>
            <w:pPr>
              <w:spacing w:after="0"/>
            </w:pPr>
            <w:r>
              <w:rPr>
                <w:rFonts w:ascii="Aptos" w:hAnsi="Aptos"/>
                <w:b/>
                <w:color w:val="FFFFFF"/>
                <w:sz w:val="14"/>
              </w:rPr>
              <w:t>Pass condition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Keyboard</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All interactive annotations and criterion expanders reachable and operable without mouse.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Focus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Visible focus states; opening/closing feedback moves/returns focus predictably.</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Screen reader</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Annotated spans have meaningful labels; criterion marks and expanded content have usable accessible names/relationships.</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Colour</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Category meaning is not communicated by colour alone; underline/pattern/label/context supplies redundant meaning.</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Contrast</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Semantic colours and text meet the project’s accessibility target when final palette is selected.</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Bottom sheet</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Focus is managed correctly; panel can be closed; background interaction behaves consistently with chosen component pattern.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Motion</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Non-essential animation does not block understanding; respect reduced-motion preferences where applicable.</w:t>
            </w:r>
          </w:p>
        </w:tc>
      </w:tr>
    </w:tbl>
    <w:p>
      <w:pPr>
        <w:spacing w:after="20"/>
      </w:pPr>
    </w:p>
    <w:p>
      <w:pPr>
        <w:pStyle w:val="Heading1"/>
        <w:pBdr>
          <w:bottom w:val="single" w:sz="8" w:space="2" w:color="EAF2F8"/>
        </w:pBdr>
      </w:pPr>
      <w:r>
        <w:t>17. Persistence and versioning acceptance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83B65"/>
            <w:tcMar>
              <w:top w:w="90" w:type="dxa"/>
              <w:start w:w="90" w:type="dxa"/>
              <w:bottom w:w="90" w:type="dxa"/>
              <w:end w:w="90" w:type="dxa"/>
            </w:tcMar>
            <w:vAlign w:val="center"/>
          </w:tcPr>
          <w:p>
            <w:pPr>
              <w:spacing w:after="0"/>
            </w:pPr>
            <w:r>
              <w:rPr>
                <w:rFonts w:ascii="Aptos" w:hAnsi="Aptos"/>
                <w:b/>
                <w:color w:val="FFFFFF"/>
                <w:sz w:val="14"/>
              </w:rPr>
              <w:t>Test</w:t>
            </w:r>
          </w:p>
        </w:tc>
        <w:tc>
          <w:tcPr>
            <w:tcW w:type="dxa" w:w="5083"/>
            <w:shd w:fill="183B65"/>
            <w:tcMar>
              <w:top w:w="90" w:type="dxa"/>
              <w:start w:w="90" w:type="dxa"/>
              <w:bottom w:w="90" w:type="dxa"/>
              <w:end w:w="90" w:type="dxa"/>
            </w:tcMar>
            <w:vAlign w:val="center"/>
          </w:tcPr>
          <w:p>
            <w:pPr>
              <w:spacing w:after="0"/>
            </w:pPr>
            <w:r>
              <w:rPr>
                <w:rFonts w:ascii="Aptos" w:hAnsi="Aptos"/>
                <w:b/>
                <w:color w:val="FFFFFF"/>
                <w:sz w:val="14"/>
              </w:rPr>
              <w:t>Pass condition</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Version provenance</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Each persisted correction identifies Documents 01–04 versions, implementation version, prompt versions and model/config identifier.</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Historical stability</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Viewing an old correction does not silently recalculate it under a new model/prompt.</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Re-evaluation</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If later supported, old and new execution records remain distinguishable/auditable.</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Incomplete state</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Incomplete assessments persist an explicit status/reason rather than fake scores.</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Validation status</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Production-valid results can be distinguished from failed/retried executions.</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Token metrics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Input/output tokens, latency and cost metrics are persisted or logged per execution/stage as agreed.</w:t>
            </w:r>
          </w:p>
        </w:tc>
      </w:tr>
    </w:tbl>
    <w:p>
      <w:pPr>
        <w:spacing w:after="20"/>
      </w:pPr>
    </w:p>
    <w:p>
      <w:pPr>
        <w:pStyle w:val="Heading1"/>
        <w:pBdr>
          <w:bottom w:val="single" w:sz="8" w:space="2" w:color="EAF2F8"/>
        </w:pBdr>
      </w:pPr>
      <w:r>
        <w:t>18. Performance, latency and cost acceptance</w:t>
      </w:r>
    </w:p>
    <w:p>
      <w:r>
        <w:rPr>
          <w:rFonts w:ascii="Aptos" w:hAnsi="Aptos"/>
        </w:rPr>
        <w:t>No numeric token or latency budget is invented by this specification. The implementation must produce a measured baseline and an explicit approval threshold before production release.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Metric</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Measure</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Release rule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End-to-end latency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p50/p95 from submit to validated feedback under staging-like load.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Threshold must be explicitly approved after baseline.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Input tokens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Per logical stage and total.</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Track; optimise duplicated context first.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Output tokens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Per stage, annotation count and criterion expanded feedback.</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Track without flattening required pedagogical depth.</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Estimated cost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Per correction and per 100 corrections under production config.</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Budget must be explicitly approved.</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Retry rate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Schema/scoring/evidence validation retries.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Persistent high retry rate blocks release until understood.</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Golden quality after optimisation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Official marks + behavioural tests after prompt/call-count optimisation.</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Must remain unchanged.</w:t>
            </w:r>
          </w:p>
        </w:tc>
      </w:tr>
    </w:tbl>
    <w:p>
      <w:pPr>
        <w:spacing w:after="20"/>
      </w:pPr>
    </w:p>
    <w:p>
      <w:pPr>
        <w:pStyle w:val="Heading1"/>
        <w:pBdr>
          <w:bottom w:val="single" w:sz="8" w:space="2" w:color="EAF2F8"/>
        </w:pBdr>
      </w:pPr>
      <w:r>
        <w:t>19. Security and operational safety</w:t>
      </w:r>
    </w:p>
    <w:p>
      <w:pPr>
        <w:pStyle w:val="ListBullet"/>
      </w:pPr>
      <w:r>
        <w:rPr>
          <w:rFonts w:ascii="Aptos" w:hAnsi="Aptos"/>
          <w:sz w:val="18"/>
        </w:rPr>
        <w:t>Never expose API keys, secret values or service credentials in logs, prompts, screenshots, documentation or client-side payloads.</w:t>
      </w:r>
    </w:p>
    <w:p>
      <w:pPr>
        <w:pStyle w:val="ListBullet"/>
      </w:pPr>
      <w:r>
        <w:rPr>
          <w:rFonts w:ascii="Aptos" w:hAnsi="Aptos"/>
          <w:sz w:val="18"/>
        </w:rPr>
        <w:t>Repository audit may report environment-variable names only.</w:t>
      </w:r>
    </w:p>
    <w:p>
      <w:pPr>
        <w:pStyle w:val="ListBullet"/>
      </w:pPr>
      <w:r>
        <w:rPr>
          <w:rFonts w:ascii="Aptos" w:hAnsi="Aptos"/>
          <w:sz w:val="18"/>
        </w:rPr>
        <w:t>Student writing and learner-history data must follow existing DRALO authentication, authorisation and database access controls.</w:t>
      </w:r>
    </w:p>
    <w:p>
      <w:pPr>
        <w:pStyle w:val="ListBullet"/>
      </w:pPr>
      <w:r>
        <w:rPr>
          <w:rFonts w:ascii="Aptos" w:hAnsi="Aptos"/>
          <w:sz w:val="18"/>
        </w:rPr>
        <w:t>Client-side UI must receive only the data required for rendering; do not expose internal prompt text or privileged configuration.</w:t>
      </w:r>
    </w:p>
    <w:p>
      <w:pPr>
        <w:pStyle w:val="ListBullet"/>
      </w:pPr>
      <w:r>
        <w:rPr>
          <w:rFonts w:ascii="Aptos" w:hAnsi="Aptos"/>
          <w:sz w:val="18"/>
        </w:rPr>
        <w:t>Error logs should contain stable IDs and diagnostic metadata without unnecessary learner content when avoidable.</w:t>
      </w:r>
    </w:p>
    <w:p>
      <w:pPr>
        <w:pStyle w:val="ListBullet"/>
      </w:pPr>
      <w:r>
        <w:rPr>
          <w:rFonts w:ascii="Aptos" w:hAnsi="Aptos"/>
          <w:sz w:val="18"/>
        </w:rPr>
        <w:t>A product safety/moderation decision must not be disguised as a Cambridge scoring deduction.</w:t>
      </w:r>
    </w:p>
    <w:p>
      <w:pPr>
        <w:pStyle w:val="Heading1"/>
        <w:pBdr>
          <w:bottom w:val="single" w:sz="8" w:space="2" w:color="EAF2F8"/>
        </w:pBdr>
      </w:pPr>
      <w:r>
        <w:t>20. Model / prompt regression protocol</w:t>
      </w:r>
    </w:p>
    <w:p>
      <w:pPr>
        <w:spacing w:after="50"/>
        <w:ind w:left="317" w:hanging="259"/>
      </w:pPr>
      <w:r>
        <w:rPr>
          <w:rFonts w:ascii="Aptos" w:hAnsi="Aptos"/>
          <w:sz w:val="18"/>
        </w:rPr>
      </w:r>
      <w:r>
        <w:rPr>
          <w:rFonts w:ascii="Aptos" w:hAnsi="Aptos"/>
          <w:sz w:val="18"/>
        </w:rPr>
        <w:t>1. Freeze current production source-document versions and golden fixtures.</w:t>
      </w:r>
    </w:p>
    <w:p>
      <w:pPr>
        <w:spacing w:after="50"/>
        <w:ind w:left="317" w:hanging="259"/>
      </w:pPr>
      <w:r>
        <w:rPr>
          <w:rFonts w:ascii="Aptos" w:hAnsi="Aptos"/>
          <w:sz w:val="18"/>
        </w:rPr>
      </w:r>
      <w:r>
        <w:rPr>
          <w:rFonts w:ascii="Aptos" w:hAnsi="Aptos"/>
          <w:sz w:val="18"/>
        </w:rPr>
        <w:t>2. Run schema/unit tests.</w:t>
      </w:r>
    </w:p>
    <w:p>
      <w:pPr>
        <w:spacing w:after="50"/>
        <w:ind w:left="317" w:hanging="259"/>
      </w:pPr>
      <w:r>
        <w:rPr>
          <w:rFonts w:ascii="Aptos" w:hAnsi="Aptos"/>
          <w:sz w:val="18"/>
        </w:rPr>
      </w:r>
      <w:r>
        <w:rPr>
          <w:rFonts w:ascii="Aptos" w:hAnsi="Aptos"/>
          <w:sz w:val="18"/>
        </w:rPr>
        <w:t>3. Run all 12 official golden cases.</w:t>
      </w:r>
    </w:p>
    <w:p>
      <w:pPr>
        <w:spacing w:after="50"/>
        <w:ind w:left="317" w:hanging="259"/>
      </w:pPr>
      <w:r>
        <w:rPr>
          <w:rFonts w:ascii="Aptos" w:hAnsi="Aptos"/>
          <w:sz w:val="18"/>
        </w:rPr>
      </w:r>
      <w:r>
        <w:rPr>
          <w:rFonts w:ascii="Aptos" w:hAnsi="Aptos"/>
          <w:sz w:val="18"/>
        </w:rPr>
        <w:t>4. Run Task Requirements tests.</w:t>
      </w:r>
    </w:p>
    <w:p>
      <w:pPr>
        <w:spacing w:after="50"/>
        <w:ind w:left="317" w:hanging="259"/>
      </w:pPr>
      <w:r>
        <w:rPr>
          <w:rFonts w:ascii="Aptos" w:hAnsi="Aptos"/>
          <w:sz w:val="18"/>
        </w:rPr>
      </w:r>
      <w:r>
        <w:rPr>
          <w:rFonts w:ascii="Aptos" w:hAnsi="Aptos"/>
          <w:sz w:val="18"/>
        </w:rPr>
        <w:t>5. Run Teacher DNA behavioural scenarios.</w:t>
      </w:r>
    </w:p>
    <w:p>
      <w:pPr>
        <w:spacing w:after="50"/>
        <w:ind w:left="317" w:hanging="259"/>
      </w:pPr>
      <w:r>
        <w:rPr>
          <w:rFonts w:ascii="Aptos" w:hAnsi="Aptos"/>
          <w:sz w:val="18"/>
        </w:rPr>
      </w:r>
      <w:r>
        <w:rPr>
          <w:rFonts w:ascii="Aptos" w:hAnsi="Aptos"/>
          <w:sz w:val="18"/>
        </w:rPr>
        <w:t>6. Run forbidden-behaviour and special-case regression tests.</w:t>
      </w:r>
    </w:p>
    <w:p>
      <w:pPr>
        <w:spacing w:after="50"/>
        <w:ind w:left="317" w:hanging="259"/>
      </w:pPr>
      <w:r>
        <w:rPr>
          <w:rFonts w:ascii="Aptos" w:hAnsi="Aptos"/>
          <w:sz w:val="18"/>
        </w:rPr>
      </w:r>
      <w:r>
        <w:rPr>
          <w:rFonts w:ascii="Aptos" w:hAnsi="Aptos"/>
          <w:sz w:val="18"/>
        </w:rPr>
        <w:t>7. Run representative UX feedback snapshots for content depth and evidence traceability.</w:t>
      </w:r>
    </w:p>
    <w:p>
      <w:pPr>
        <w:spacing w:after="50"/>
        <w:ind w:left="317" w:hanging="259"/>
      </w:pPr>
      <w:r>
        <w:rPr>
          <w:rFonts w:ascii="Aptos" w:hAnsi="Aptos"/>
          <w:sz w:val="18"/>
        </w:rPr>
      </w:r>
      <w:r>
        <w:rPr>
          <w:rFonts w:ascii="Aptos" w:hAnsi="Aptos"/>
          <w:sz w:val="18"/>
        </w:rPr>
        <w:t>8. Compare token/cost/latency metrics to previous baseline.</w:t>
      </w:r>
    </w:p>
    <w:p>
      <w:pPr>
        <w:spacing w:after="50"/>
        <w:ind w:left="317" w:hanging="259"/>
      </w:pPr>
      <w:r>
        <w:rPr>
          <w:rFonts w:ascii="Aptos" w:hAnsi="Aptos"/>
          <w:sz w:val="18"/>
        </w:rPr>
      </w:r>
      <w:r>
        <w:rPr>
          <w:rFonts w:ascii="Aptos" w:hAnsi="Aptos"/>
          <w:sz w:val="18"/>
        </w:rPr>
        <w:t>9. Have a qualified teacher review any scoring delta before release.</w:t>
      </w:r>
    </w:p>
    <w:p>
      <w:pPr>
        <w:spacing w:after="50"/>
        <w:ind w:left="317" w:hanging="259"/>
      </w:pPr>
      <w:r>
        <w:rPr>
          <w:rFonts w:ascii="Aptos" w:hAnsi="Aptos"/>
          <w:sz w:val="18"/>
        </w:rPr>
      </w:r>
      <w:r>
        <w:rPr>
          <w:rFonts w:ascii="Aptos" w:hAnsi="Aptos"/>
          <w:sz w:val="18"/>
        </w:rPr>
        <w:t>10. Version the prompt/model/config change and attach the acceptance report.</w:t>
      </w:r>
    </w:p>
    <w:p>
      <w:pPr>
        <w:pStyle w:val="Heading1"/>
        <w:pBdr>
          <w:bottom w:val="single" w:sz="8" w:space="2" w:color="EAF2F8"/>
        </w:pBdr>
      </w:pPr>
      <w:r>
        <w:t>21. Human calibration workflow</w:t>
      </w:r>
    </w:p>
    <w:p>
      <w:pPr>
        <w:spacing w:after="50"/>
        <w:ind w:left="317" w:hanging="259"/>
      </w:pPr>
      <w:r>
        <w:rPr>
          <w:rFonts w:ascii="Aptos" w:hAnsi="Aptos"/>
          <w:sz w:val="18"/>
        </w:rPr>
      </w:r>
      <w:r>
        <w:rPr>
          <w:rFonts w:ascii="Aptos" w:hAnsi="Aptos"/>
          <w:sz w:val="18"/>
        </w:rPr>
        <w:t>1. Teacher independently marks the script using Documents 01–03.</w:t>
      </w:r>
    </w:p>
    <w:p>
      <w:pPr>
        <w:spacing w:after="50"/>
        <w:ind w:left="317" w:hanging="259"/>
      </w:pPr>
      <w:r>
        <w:rPr>
          <w:rFonts w:ascii="Aptos" w:hAnsi="Aptos"/>
          <w:sz w:val="18"/>
        </w:rPr>
      </w:r>
      <w:r>
        <w:rPr>
          <w:rFonts w:ascii="Aptos" w:hAnsi="Aptos"/>
          <w:sz w:val="18"/>
        </w:rPr>
        <w:t>2. Engine produces task_analysis, observations, assessment_record and feedback_payload.</w:t>
      </w:r>
    </w:p>
    <w:p>
      <w:pPr>
        <w:spacing w:after="50"/>
        <w:ind w:left="317" w:hanging="259"/>
      </w:pPr>
      <w:r>
        <w:rPr>
          <w:rFonts w:ascii="Aptos" w:hAnsi="Aptos"/>
          <w:sz w:val="18"/>
        </w:rPr>
      </w:r>
      <w:r>
        <w:rPr>
          <w:rFonts w:ascii="Aptos" w:hAnsi="Aptos"/>
          <w:sz w:val="18"/>
        </w:rPr>
        <w:t>3. Classify any disagreement as task-analysis error, evidence-extraction error, band-boundary error, explanation error, feedback-priority error or UX/rendering error.</w:t>
      </w:r>
    </w:p>
    <w:p>
      <w:pPr>
        <w:spacing w:after="50"/>
        <w:ind w:left="317" w:hanging="259"/>
      </w:pPr>
      <w:r>
        <w:rPr>
          <w:rFonts w:ascii="Aptos" w:hAnsi="Aptos"/>
          <w:sz w:val="18"/>
        </w:rPr>
      </w:r>
      <w:r>
        <w:rPr>
          <w:rFonts w:ascii="Aptos" w:hAnsi="Aptos"/>
          <w:sz w:val="18"/>
        </w:rPr>
        <w:t>4. Check the relevant source rule and closest official calibration case.</w:t>
      </w:r>
    </w:p>
    <w:p>
      <w:pPr>
        <w:spacing w:after="50"/>
        <w:ind w:left="317" w:hanging="259"/>
      </w:pPr>
      <w:r>
        <w:rPr>
          <w:rFonts w:ascii="Aptos" w:hAnsi="Aptos"/>
          <w:sz w:val="18"/>
        </w:rPr>
      </w:r>
      <w:r>
        <w:rPr>
          <w:rFonts w:ascii="Aptos" w:hAnsi="Aptos"/>
          <w:sz w:val="18"/>
        </w:rPr>
        <w:t>5. Change a rule only when the current source is incomplete/incorrect or stronger approved evidence exists; do not tune blindly to a single sample.</w:t>
      </w:r>
    </w:p>
    <w:p>
      <w:pPr>
        <w:spacing w:after="50"/>
        <w:ind w:left="317" w:hanging="259"/>
      </w:pPr>
      <w:r>
        <w:rPr>
          <w:rFonts w:ascii="Aptos" w:hAnsi="Aptos"/>
          <w:sz w:val="18"/>
        </w:rPr>
      </w:r>
      <w:r>
        <w:rPr>
          <w:rFonts w:ascii="Aptos" w:hAnsi="Aptos"/>
          <w:sz w:val="18"/>
        </w:rPr>
        <w:t>6. Add the resolved case to regression fixtures with version history.</w:t>
      </w:r>
    </w:p>
    <w:p>
      <w:pPr>
        <w:pStyle w:val="Heading1"/>
        <w:pBdr>
          <w:bottom w:val="single" w:sz="8" w:space="2" w:color="EAF2F8"/>
        </w:pBdr>
      </w:pPr>
      <w:r>
        <w:t>22. Release gates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Gate</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Required evidence</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Pass rule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R0 — Audit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Document 05 repository audit and bindings complete.</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All runtime/config unknowns affecting Writing are resolved or explicitly accepted.</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R1 — Contracts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Schemas + deterministic validators.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100% core schema/validator tests pass.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R2 — Task analysis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Genre/task tests.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All Document 01 acceptance tests pass.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R3 — Cambridge core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12 official golden cases + boundary regressions.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Exact official score profiles; zero P0/P1 scoring failures.</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R4 — Teacher/feedback</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Teacher DNA + feedback quality tests.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No P0/P1; teacher reviewer accepts representative outputs.</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R5 — Integration/persistence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End-to-end staging execution + provenance.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No data loss; versions preserved; failure states correct.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R6 — UX/visual/a11y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Desktop/mobile interaction, visual continuity, accessibility.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Document 04 checklist satisfied; zero P0/P1; P2 resolved/waived.</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R7 — Cost/performance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Measured staging baseline.</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Explicit cost/latency threshold approved; golden quality unchanged.</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R8 — Production readiness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Full regression report + rollback/migration plan.</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Technical owner + qualified teacher + product/UX owner approve.</w:t>
            </w:r>
          </w:p>
        </w:tc>
      </w:tr>
    </w:tbl>
    <w:p>
      <w:pPr>
        <w:spacing w:after="20"/>
      </w:pPr>
    </w:p>
    <w:p>
      <w:pPr>
        <w:pStyle w:val="Heading1"/>
        <w:pBdr>
          <w:bottom w:val="single" w:sz="8" w:space="2" w:color="EAF2F8"/>
        </w:pBdr>
      </w:pPr>
      <w:r>
        <w:t>23. Definition of Done</w:t>
      </w:r>
    </w:p>
    <w:p>
      <w:pPr>
        <w:pStyle w:val="ListBullet"/>
      </w:pPr>
      <w:r>
        <w:rPr>
          <w:rFonts w:ascii="Aptos" w:hAnsi="Aptos"/>
          <w:sz w:val="18"/>
        </w:rPr>
        <w:t>Documents 01–04 remain the source of truth and their versions are recorded by the implementation.</w:t>
      </w:r>
    </w:p>
    <w:p>
      <w:pPr>
        <w:pStyle w:val="ListBullet"/>
      </w:pPr>
      <w:r>
        <w:rPr>
          <w:rFonts w:ascii="Aptos" w:hAnsi="Aptos"/>
          <w:sz w:val="18"/>
        </w:rPr>
        <w:t>Task analysis correctly distinguishes mandatory requirements from recommendations.</w:t>
      </w:r>
    </w:p>
    <w:p>
      <w:pPr>
        <w:pStyle w:val="ListBullet"/>
      </w:pPr>
      <w:r>
        <w:rPr>
          <w:rFonts w:ascii="Aptos" w:hAnsi="Aptos"/>
          <w:sz w:val="18"/>
        </w:rPr>
        <w:t>Teacher DNA influences pedagogical priority without contaminating Cambridge marks.</w:t>
      </w:r>
    </w:p>
    <w:p>
      <w:pPr>
        <w:pStyle w:val="ListBullet"/>
      </w:pPr>
      <w:r>
        <w:rPr>
          <w:rFonts w:ascii="Aptos" w:hAnsi="Aptos"/>
          <w:sz w:val="18"/>
        </w:rPr>
        <w:t>Four independent whole Cambridge marks reproduce the official calibration set and generate a raw /20 total.</w:t>
      </w:r>
    </w:p>
    <w:p>
      <w:pPr>
        <w:pStyle w:val="ListBullet"/>
      </w:pPr>
      <w:r>
        <w:rPr>
          <w:rFonts w:ascii="Aptos" w:hAnsi="Aptos"/>
          <w:sz w:val="18"/>
        </w:rPr>
        <w:t>Every mark is evidence-backed and explains why the next band is not reached.</w:t>
      </w:r>
    </w:p>
    <w:p>
      <w:pPr>
        <w:pStyle w:val="ListBullet"/>
      </w:pPr>
      <w:r>
        <w:rPr>
          <w:rFonts w:ascii="Aptos" w:hAnsi="Aptos"/>
          <w:sz w:val="18"/>
        </w:rPr>
        <w:t>No forbidden heuristic or invented penalty is used.</w:t>
      </w:r>
    </w:p>
    <w:p>
      <w:pPr>
        <w:pStyle w:val="ListBullet"/>
      </w:pPr>
      <w:r>
        <w:rPr>
          <w:rFonts w:ascii="Aptos" w:hAnsi="Aptos"/>
          <w:sz w:val="18"/>
        </w:rPr>
        <w:t>Feedback is evidence-based, teacher-like, progressively disclosed and materially richer than mock-up placeholder copy.</w:t>
      </w:r>
    </w:p>
    <w:p>
      <w:pPr>
        <w:pStyle w:val="ListBullet"/>
      </w:pPr>
      <w:r>
        <w:rPr>
          <w:rFonts w:ascii="Aptos" w:hAnsi="Aptos"/>
          <w:sz w:val="18"/>
        </w:rPr>
        <w:t>The learner’s writing remains the primary interface, with approved desktop/mobile interactions.</w:t>
      </w:r>
    </w:p>
    <w:p>
      <w:pPr>
        <w:pStyle w:val="ListBullet"/>
      </w:pPr>
      <w:r>
        <w:rPr>
          <w:rFonts w:ascii="Aptos" w:hAnsi="Aptos"/>
          <w:sz w:val="18"/>
        </w:rPr>
        <w:t>The UI is visually compatible with the current DRALO system rather than a new theme.</w:t>
      </w:r>
    </w:p>
    <w:p>
      <w:pPr>
        <w:pStyle w:val="ListBullet"/>
      </w:pPr>
      <w:r>
        <w:rPr>
          <w:rFonts w:ascii="Aptos" w:hAnsi="Aptos"/>
          <w:sz w:val="18"/>
        </w:rPr>
        <w:t>All persisted results carry source/prompt/model/version provenance.</w:t>
      </w:r>
    </w:p>
    <w:p>
      <w:pPr>
        <w:pStyle w:val="ListBullet"/>
      </w:pPr>
      <w:r>
        <w:rPr>
          <w:rFonts w:ascii="Aptos" w:hAnsi="Aptos"/>
          <w:sz w:val="18"/>
        </w:rPr>
        <w:t>Incomplete/failure states do not fabricate scores or evidence.</w:t>
      </w:r>
    </w:p>
    <w:p>
      <w:pPr>
        <w:pStyle w:val="ListBullet"/>
      </w:pPr>
      <w:r>
        <w:rPr>
          <w:rFonts w:ascii="Aptos" w:hAnsi="Aptos"/>
          <w:sz w:val="18"/>
        </w:rPr>
        <w:t>Token/cost/latency are measured and explicitly accepted.</w:t>
      </w:r>
    </w:p>
    <w:p>
      <w:pPr>
        <w:pStyle w:val="ListBullet"/>
      </w:pPr>
      <w:r>
        <w:rPr>
          <w:rFonts w:ascii="Aptos" w:hAnsi="Aptos"/>
          <w:sz w:val="18"/>
        </w:rPr>
        <w:t>A qualified teacher and the technical/product owners sign off the release gates.</w:t>
      </w:r>
    </w:p>
    <w:p>
      <w:pPr>
        <w:pStyle w:val="Heading1"/>
        <w:pBdr>
          <w:bottom w:val="single" w:sz="8" w:space="2" w:color="EAF2F8"/>
        </w:pBdr>
      </w:pPr>
      <w:r>
        <w:t>24. Acceptance report template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83B65"/>
            <w:tcMar>
              <w:top w:w="90" w:type="dxa"/>
              <w:start w:w="90" w:type="dxa"/>
              <w:bottom w:w="90" w:type="dxa"/>
              <w:end w:w="90" w:type="dxa"/>
            </w:tcMar>
            <w:vAlign w:val="center"/>
          </w:tcPr>
          <w:p>
            <w:pPr>
              <w:spacing w:after="0"/>
            </w:pPr>
            <w:r>
              <w:rPr>
                <w:rFonts w:ascii="Aptos" w:hAnsi="Aptos"/>
                <w:b/>
                <w:color w:val="FFFFFF"/>
                <w:sz w:val="14"/>
              </w:rPr>
              <w:t>Field</w:t>
            </w:r>
          </w:p>
        </w:tc>
        <w:tc>
          <w:tcPr>
            <w:tcW w:type="dxa" w:w="5083"/>
            <w:shd w:fill="183B65"/>
            <w:tcMar>
              <w:top w:w="90" w:type="dxa"/>
              <w:start w:w="90" w:type="dxa"/>
              <w:bottom w:w="90" w:type="dxa"/>
              <w:end w:w="90" w:type="dxa"/>
            </w:tcMar>
            <w:vAlign w:val="center"/>
          </w:tcPr>
          <w:p>
            <w:pPr>
              <w:spacing w:after="0"/>
            </w:pPr>
            <w:r>
              <w:rPr>
                <w:rFonts w:ascii="Aptos" w:hAnsi="Aptos"/>
                <w:b/>
                <w:color w:val="FFFFFF"/>
                <w:sz w:val="14"/>
              </w:rPr>
              <w:t>Value</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Build / commit</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Environment</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Staging / Production candidate</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Source documents</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01 ___ · 02 ___ · 03 ___ · 04 ___ · 05 ___ · 06 ___</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Model / configuration</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Prompt versions</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Golden calibration</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__/12 exact profiles passed</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Task Requirements tests</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Teacher DNA tests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Forbidden regression tests</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Schema/evidence validators</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UX desktop</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UX mobile</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Visual compatibility</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Accessibility</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Pass / Fail</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p50 / p95 latency</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Cost per correction</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Open P0</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0 required</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Open P1</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0 required</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Open P2</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Teacher reviewer</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Por definir</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Technical reviewer</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Por definir</w:t>
            </w:r>
          </w:p>
        </w:tc>
      </w:tr>
      <w:tr>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Product/UX reviewer</w:t>
            </w:r>
          </w:p>
        </w:tc>
        <w:tc>
          <w:tcPr>
            <w:tcW w:type="dxa" w:w="5083"/>
            <w:shd w:fill="F8FAFC"/>
            <w:tcMar>
              <w:top w:w="75" w:type="dxa"/>
              <w:start w:w="85" w:type="dxa"/>
              <w:bottom w:w="75" w:type="dxa"/>
              <w:end w:w="85" w:type="dxa"/>
            </w:tcMar>
            <w:vAlign w:val="top"/>
          </w:tcPr>
          <w:p>
            <w:pPr>
              <w:spacing w:after="0" w:line="240" w:lineRule="auto"/>
            </w:pPr>
            <w:r>
              <w:rPr>
                <w:rFonts w:ascii="Aptos" w:hAnsi="Aptos"/>
                <w:color w:val="1C2733"/>
                <w:sz w:val="14"/>
              </w:rPr>
              <w:t>Por definir</w:t>
            </w:r>
          </w:p>
        </w:tc>
      </w:tr>
      <w:tr>
        <w:tc>
          <w:tcPr>
            <w:tcW w:type="dxa" w:w="5083"/>
            <w:tcMar>
              <w:top w:w="75" w:type="dxa"/>
              <w:start w:w="85" w:type="dxa"/>
              <w:bottom w:w="75" w:type="dxa"/>
              <w:end w:w="85" w:type="dxa"/>
            </w:tcMar>
            <w:vAlign w:val="top"/>
          </w:tcPr>
          <w:p>
            <w:pPr>
              <w:spacing w:after="0" w:line="240" w:lineRule="auto"/>
            </w:pPr>
            <w:r>
              <w:rPr>
                <w:rFonts w:ascii="Aptos" w:hAnsi="Aptos"/>
                <w:color w:val="1C2733"/>
                <w:sz w:val="14"/>
              </w:rPr>
              <w:t>Decision</w:t>
            </w:r>
          </w:p>
        </w:tc>
        <w:tc>
          <w:tcPr>
            <w:tcW w:type="dxa" w:w="5083"/>
            <w:tcMar>
              <w:top w:w="75" w:type="dxa"/>
              <w:start w:w="85" w:type="dxa"/>
              <w:bottom w:w="75" w:type="dxa"/>
              <w:end w:w="85" w:type="dxa"/>
            </w:tcMar>
            <w:vAlign w:val="top"/>
          </w:tcPr>
          <w:p>
            <w:pPr>
              <w:spacing w:after="0" w:line="240" w:lineRule="auto"/>
            </w:pPr>
            <w:r>
              <w:rPr>
                <w:rFonts w:ascii="Aptos" w:hAnsi="Aptos"/>
                <w:color w:val="1C2733"/>
                <w:sz w:val="14"/>
              </w:rPr>
              <w:t>APPROVE / REJECT / CONDITIONAL</w:t>
            </w:r>
          </w:p>
        </w:tc>
      </w:tr>
    </w:tbl>
    <w:p>
      <w:pPr>
        <w:spacing w:after="20"/>
      </w:pPr>
    </w:p>
    <w:p>
      <w:pPr>
        <w:pStyle w:val="Heading1"/>
        <w:pBdr>
          <w:bottom w:val="single" w:sz="8" w:space="2" w:color="EAF2F8"/>
        </w:pBdr>
      </w:pPr>
      <w:r>
        <w:t>25. Explicit pre-production open items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B65"/>
            <w:tcMar>
              <w:top w:w="90" w:type="dxa"/>
              <w:start w:w="90" w:type="dxa"/>
              <w:bottom w:w="90" w:type="dxa"/>
              <w:end w:w="90" w:type="dxa"/>
            </w:tcMar>
            <w:vAlign w:val="center"/>
          </w:tcPr>
          <w:p>
            <w:pPr>
              <w:spacing w:after="0"/>
            </w:pPr>
            <w:r>
              <w:rPr>
                <w:rFonts w:ascii="Aptos" w:hAnsi="Aptos"/>
                <w:b/>
                <w:color w:val="FFFFFF"/>
                <w:sz w:val="14"/>
              </w:rPr>
              <w:t>Item</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Why it remains open</w:t>
            </w:r>
          </w:p>
        </w:tc>
        <w:tc>
          <w:tcPr>
            <w:tcW w:type="dxa" w:w="3389"/>
            <w:shd w:fill="183B65"/>
            <w:tcMar>
              <w:top w:w="90" w:type="dxa"/>
              <w:start w:w="90" w:type="dxa"/>
              <w:bottom w:w="90" w:type="dxa"/>
              <w:end w:w="90" w:type="dxa"/>
            </w:tcMar>
            <w:vAlign w:val="center"/>
          </w:tcPr>
          <w:p>
            <w:pPr>
              <w:spacing w:after="0"/>
            </w:pPr>
            <w:r>
              <w:rPr>
                <w:rFonts w:ascii="Aptos" w:hAnsi="Aptos"/>
                <w:b/>
                <w:color w:val="FFFFFF"/>
                <w:sz w:val="14"/>
              </w:rPr>
              <w:t>Release impact</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Exact semantic colour legend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Prior approved mapping is not recoverable from current Layer 4 record.</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Must be approved before final visual acceptance if category colour is production-visible.</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Repository bindings</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Require Cursor read-only audit.</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Blocks implementation start beyond contract scaffolding.</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Production call count</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Requires benchmark against quality/cost/latency.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Blocks final architecture optimisation, not initial logical implementation.</w:t>
            </w:r>
          </w:p>
        </w:tc>
      </w:tr>
      <w:tr>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Hard token/cost threshold</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Must be measured and explicitly approved.</w:t>
            </w:r>
          </w:p>
        </w:tc>
        <w:tc>
          <w:tcPr>
            <w:tcW w:type="dxa" w:w="3389"/>
            <w:shd w:fill="F8FAFC"/>
            <w:tcMar>
              <w:top w:w="75" w:type="dxa"/>
              <w:start w:w="85" w:type="dxa"/>
              <w:bottom w:w="75" w:type="dxa"/>
              <w:end w:w="85" w:type="dxa"/>
            </w:tcMar>
            <w:vAlign w:val="top"/>
          </w:tcPr>
          <w:p>
            <w:pPr>
              <w:spacing w:after="0" w:line="240" w:lineRule="auto"/>
            </w:pPr>
            <w:r>
              <w:rPr>
                <w:rFonts w:ascii="Aptos" w:hAnsi="Aptos"/>
                <w:color w:val="1C2733"/>
                <w:sz w:val="14"/>
              </w:rPr>
              <w:t>Blocks production release.</w:t>
            </w:r>
          </w:p>
        </w:tc>
      </w:tr>
      <w:tr>
        <w:tc>
          <w:tcPr>
            <w:tcW w:type="dxa" w:w="3389"/>
            <w:tcMar>
              <w:top w:w="75" w:type="dxa"/>
              <w:start w:w="85" w:type="dxa"/>
              <w:bottom w:w="75" w:type="dxa"/>
              <w:end w:w="85" w:type="dxa"/>
            </w:tcMar>
            <w:vAlign w:val="top"/>
          </w:tcPr>
          <w:p>
            <w:pPr>
              <w:spacing w:after="0" w:line="240" w:lineRule="auto"/>
            </w:pPr>
            <w:r>
              <w:rPr>
                <w:rFonts w:ascii="Aptos" w:hAnsi="Aptos"/>
                <w:color w:val="1C2733"/>
                <w:sz w:val="14"/>
              </w:rPr>
              <w:t>Mobile bottom-sheet geometry</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Must use current DRALO responsive components/breakpoints.</w:t>
            </w:r>
          </w:p>
        </w:tc>
        <w:tc>
          <w:tcPr>
            <w:tcW w:type="dxa" w:w="3389"/>
            <w:tcMar>
              <w:top w:w="75" w:type="dxa"/>
              <w:start w:w="85" w:type="dxa"/>
              <w:bottom w:w="75" w:type="dxa"/>
              <w:end w:w="85" w:type="dxa"/>
            </w:tcMar>
            <w:vAlign w:val="top"/>
          </w:tcPr>
          <w:p>
            <w:pPr>
              <w:spacing w:after="0" w:line="240" w:lineRule="auto"/>
            </w:pPr>
            <w:r>
              <w:rPr>
                <w:rFonts w:ascii="Aptos" w:hAnsi="Aptos"/>
                <w:color w:val="1C2733"/>
                <w:sz w:val="14"/>
              </w:rPr>
              <w:t>Blocks mobile acceptance.</w:t>
            </w:r>
          </w:p>
        </w:tc>
      </w:tr>
    </w:tbl>
    <w:p>
      <w:pPr>
        <w:spacing w:after="20"/>
      </w:pPr>
    </w:p>
    <w:p>
      <w:pPr>
        <w:pStyle w:val="Heading1"/>
        <w:pBdr>
          <w:bottom w:val="single" w:sz="8" w:space="2" w:color="EAF2F8"/>
        </w:pBdr>
      </w:pPr>
      <w:r>
        <w:t>26. Revision record</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83B65"/>
            <w:tcMar>
              <w:top w:w="90" w:type="dxa"/>
              <w:start w:w="90" w:type="dxa"/>
              <w:bottom w:w="90" w:type="dxa"/>
              <w:end w:w="90" w:type="dxa"/>
            </w:tcMar>
            <w:vAlign w:val="center"/>
          </w:tcPr>
          <w:p>
            <w:pPr>
              <w:spacing w:after="0"/>
            </w:pPr>
            <w:r>
              <w:rPr>
                <w:rFonts w:ascii="Aptos" w:hAnsi="Aptos"/>
                <w:b/>
                <w:color w:val="FFFFFF"/>
                <w:sz w:val="15"/>
              </w:rPr>
              <w:t>Version</w:t>
            </w:r>
          </w:p>
        </w:tc>
        <w:tc>
          <w:tcPr>
            <w:tcW w:type="dxa" w:w="2541"/>
            <w:shd w:fill="183B65"/>
            <w:tcMar>
              <w:top w:w="90" w:type="dxa"/>
              <w:start w:w="90" w:type="dxa"/>
              <w:bottom w:w="90" w:type="dxa"/>
              <w:end w:w="90" w:type="dxa"/>
            </w:tcMar>
            <w:vAlign w:val="center"/>
          </w:tcPr>
          <w:p>
            <w:pPr>
              <w:spacing w:after="0"/>
            </w:pPr>
            <w:r>
              <w:rPr>
                <w:rFonts w:ascii="Aptos" w:hAnsi="Aptos"/>
                <w:b/>
                <w:color w:val="FFFFFF"/>
                <w:sz w:val="15"/>
              </w:rPr>
              <w:t>Date</w:t>
            </w:r>
          </w:p>
        </w:tc>
        <w:tc>
          <w:tcPr>
            <w:tcW w:type="dxa" w:w="2541"/>
            <w:shd w:fill="183B65"/>
            <w:tcMar>
              <w:top w:w="90" w:type="dxa"/>
              <w:start w:w="90" w:type="dxa"/>
              <w:bottom w:w="90" w:type="dxa"/>
              <w:end w:w="90" w:type="dxa"/>
            </w:tcMar>
            <w:vAlign w:val="center"/>
          </w:tcPr>
          <w:p>
            <w:pPr>
              <w:spacing w:after="0"/>
            </w:pPr>
            <w:r>
              <w:rPr>
                <w:rFonts w:ascii="Aptos" w:hAnsi="Aptos"/>
                <w:b/>
                <w:color w:val="FFFFFF"/>
                <w:sz w:val="15"/>
              </w:rPr>
              <w:t>Status</w:t>
            </w:r>
          </w:p>
        </w:tc>
        <w:tc>
          <w:tcPr>
            <w:tcW w:type="dxa" w:w="2541"/>
            <w:shd w:fill="183B65"/>
            <w:tcMar>
              <w:top w:w="90" w:type="dxa"/>
              <w:start w:w="90" w:type="dxa"/>
              <w:bottom w:w="90" w:type="dxa"/>
              <w:end w:w="90" w:type="dxa"/>
            </w:tcMar>
            <w:vAlign w:val="center"/>
          </w:tcPr>
          <w:p>
            <w:pPr>
              <w:spacing w:after="0"/>
            </w:pPr>
            <w:r>
              <w:rPr>
                <w:rFonts w:ascii="Aptos" w:hAnsi="Aptos"/>
                <w:b/>
                <w:color w:val="FFFFFF"/>
                <w:sz w:val="15"/>
              </w:rPr>
              <w:t>Change</w:t>
            </w:r>
          </w:p>
        </w:tc>
      </w:tr>
      <w:tr>
        <w:tc>
          <w:tcPr>
            <w:tcW w:type="dxa" w:w="2541"/>
            <w:tcMar>
              <w:top w:w="75" w:type="dxa"/>
              <w:start w:w="85" w:type="dxa"/>
              <w:bottom w:w="75" w:type="dxa"/>
              <w:end w:w="85" w:type="dxa"/>
            </w:tcMar>
            <w:vAlign w:val="top"/>
          </w:tcPr>
          <w:p>
            <w:pPr>
              <w:spacing w:after="0" w:line="240" w:lineRule="auto"/>
            </w:pPr>
            <w:r>
              <w:rPr>
                <w:rFonts w:ascii="Aptos" w:hAnsi="Aptos"/>
                <w:color w:val="1C2733"/>
                <w:sz w:val="15"/>
              </w:rPr>
              <w:t>1.0</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5"/>
              </w:rPr>
              <w:t>2026-08-09</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5"/>
              </w:rPr>
              <w:t>Vigente</w:t>
            </w:r>
          </w:p>
        </w:tc>
        <w:tc>
          <w:tcPr>
            <w:tcW w:type="dxa" w:w="2541"/>
            <w:tcMar>
              <w:top w:w="75" w:type="dxa"/>
              <w:start w:w="85" w:type="dxa"/>
              <w:bottom w:w="75" w:type="dxa"/>
              <w:end w:w="85" w:type="dxa"/>
            </w:tcMar>
            <w:vAlign w:val="top"/>
          </w:tcPr>
          <w:p>
            <w:pPr>
              <w:spacing w:after="0" w:line="240" w:lineRule="auto"/>
            </w:pPr>
            <w:r>
              <w:rPr>
                <w:rFonts w:ascii="Aptos" w:hAnsi="Aptos"/>
                <w:color w:val="1C2733"/>
                <w:sz w:val="15"/>
              </w:rPr>
              <w:t>Initial unified acceptance specification created from Documents 01–05. Includes official golden profiles, Teacher DNA scenarios, task tests, UX/visual/a11y checks, performance/cost requirements and release gates.</w:t>
            </w:r>
          </w:p>
        </w:tc>
      </w:tr>
    </w:tbl>
    <w:p>
      <w:pPr>
        <w:spacing w:after="20"/>
      </w:pP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B8490"/>
        <w:sz w:val="14"/>
      </w:rPr>
      <w:t>Document 06 · Release and regression contract · 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8DEE6"/>
      </w:pBdr>
    </w:pPr>
    <w:r>
      <w:rPr>
        <w:rFonts w:ascii="Aptos" w:hAnsi="Aptos"/>
        <w:color w:val="6B7480"/>
        <w:sz w:val="15"/>
      </w:rPr>
      <w:t>DRALO · Writing Engine Acceptance &amp; Validation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B6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E778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83B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B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2E778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Box"/>
    <w:pPr>
      <w:spacing w:before="80" w:after="140"/>
      <w:ind w:left="230" w:right="230"/>
    </w:pPr>
    <w:rPr>
      <w:rFonts w:ascii="Aptos" w:hAnsi="Aptos"/>
      <w:i/>
      <w:color w:val="183B65"/>
      <w:sz w:val="20"/>
    </w:rPr>
  </w:style>
  <w:style w:type="paragraph" w:customStyle="1" w:styleId="CodeBlock">
    <w:name w:val="CodeBlock"/>
    <w:pPr>
      <w:spacing w:after="10" w:line="240" w:lineRule="auto"/>
      <w:ind w:left="173" w:right="173"/>
    </w:pPr>
    <w:rPr>
      <w:rFonts w:ascii="Liberation Mono" w:hAnsi="Liberation Mono"/>
      <w:color w:val="20262E"/>
      <w:sz w:val="15"/>
    </w:rPr>
  </w:style>
  <w:style w:type="paragraph" w:customStyle="1" w:styleId="SmallNote">
    <w:name w:val="SmallNote"/>
    <w:pPr>
      <w:spacing w:after="80"/>
    </w:pPr>
    <w:rPr>
      <w:rFonts w:ascii="Aptos" w:hAnsi="Aptos"/>
      <w:color w:val="5D677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DRALO Writing Engine — Acceptance &amp; Validation Specification v1.0</dc:title>
  <dc:subject>Release acceptance and regression contract</dc:subject>
  <dc:creator>DRALO</dc:creator>
  <cp:keywords/>
  <dc:description>Generated as an implementation specification from DRALO source documents.</dc:description>
  <cp:lastModifiedBy/>
  <cp:revision>1</cp:revision>
  <dcterms:created xsi:type="dcterms:W3CDTF">2013-12-23T23:15:00Z</dcterms:created>
  <dcterms:modified xsi:type="dcterms:W3CDTF">2013-12-23T23:15:00Z</dcterms:modified>
  <cp:category/>
</cp:coreProperties>
</file>