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with James: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Replace RTC capacitor with battery since charging capacitor would take sometimes, as well as the voltage are only usable in a certain range.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Charging with 4.2- 0.7 = 3.5 volt is still higher than the voltage the RTC can handle which is 3V.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Utilized Voltage Divider on 2nd Inverter node and V_Latch node to determine NMOS resistance value for proper current.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Change by Bao: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Reposition the side rail so it fit on the breadboard - Multiple of 2.54mm spacing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Replace test pins with continuous header holes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Resize and rearrange printed letters so they would print nicely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Add letters for test pins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Rewire signal rail and power rail for easy installation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Move LED from bottom layer to front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Suggested change from Bao: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Remove 1nF capacitor due protect the RTC. Current spike is allowed for the RTC INT =&gt; can blow the RTC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The board when overrided to stay awake, the latch will pulled to GND. The shutdown pin is only have 1 resistor and 1 diode away from a feather pin.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This will cause over current sink from the feather pin if it tries to sent shutdown signal.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