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24A3" w:rsidRDefault="003F77C3">
      <w:pPr>
        <w:jc w:val="center"/>
        <w:rPr>
          <w:rFonts w:ascii="Verdana Pro" w:hAnsi="Verdana Pro"/>
          <w:b/>
          <w:bCs/>
          <w:sz w:val="28"/>
          <w:szCs w:val="28"/>
        </w:rPr>
      </w:pPr>
      <w:r>
        <w:rPr>
          <w:rFonts w:ascii="Verdana Pro" w:hAnsi="Verdana Pro"/>
          <w:b/>
          <w:bCs/>
          <w:sz w:val="28"/>
          <w:szCs w:val="28"/>
        </w:rPr>
        <w:t xml:space="preserve">Diferencialne enačbe, 2. kolokvij   </w:t>
      </w:r>
    </w:p>
    <w:p w:rsidR="008F24A3" w:rsidRDefault="008F24A3">
      <w:pPr>
        <w:rPr>
          <w:b/>
          <w:bCs/>
        </w:rPr>
      </w:pPr>
    </w:p>
    <w:p w:rsidR="008F24A3" w:rsidRDefault="008F24A3">
      <w:pPr>
        <w:rPr>
          <w:b/>
          <w:bCs/>
          <w:color w:val="000000"/>
        </w:rPr>
      </w:pPr>
    </w:p>
    <w:p w:rsidR="008F24A3" w:rsidRDefault="003F77C3">
      <w:pPr>
        <w:rPr>
          <w:rFonts w:ascii="Verdana Pro" w:hAnsi="Verdana Pro"/>
          <w:color w:val="000000"/>
        </w:rPr>
      </w:pPr>
      <w:r>
        <w:rPr>
          <w:rFonts w:ascii="Verdana Pro" w:hAnsi="Verdana Pro"/>
          <w:color w:val="000000"/>
        </w:rPr>
        <w:t>1. Rešitev diferencialne enačbe in začetnega problema. Enačbe z ločljivima spremenljivkama. Primeri.</w:t>
      </w:r>
    </w:p>
    <w:p w:rsidR="000A47B7" w:rsidRDefault="003F77C3">
      <w:r>
        <w:rPr>
          <w:noProof/>
        </w:rPr>
        <w:drawing>
          <wp:inline distT="0" distB="0" distL="0" distR="0" wp14:anchorId="19CCA5E9" wp14:editId="40BFAC41">
            <wp:extent cx="5724525" cy="4305300"/>
            <wp:effectExtent l="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4A3" w:rsidRDefault="003F77C3">
      <w:r>
        <w:rPr>
          <w:rFonts w:ascii="Verdana Pro" w:hAnsi="Verdana Pro"/>
          <w:color w:val="000000"/>
        </w:rPr>
        <w:t xml:space="preserve">2. Diferencialna enačba za LCR zanko. </w:t>
      </w:r>
    </w:p>
    <w:p w:rsidR="008F24A3" w:rsidRDefault="003F77C3">
      <w:r>
        <w:rPr>
          <w:rFonts w:ascii="Verdana Pro" w:hAnsi="Verdana Pro"/>
          <w:color w:val="000000"/>
        </w:rPr>
        <w:t xml:space="preserve">3. Diferencialna enačba prvega reda.  Eksistenca in enoličnost rešitve začetnega problema.  Peanov interval. Primeri. </w:t>
      </w:r>
    </w:p>
    <w:p w:rsidR="008F24A3" w:rsidRDefault="003F77C3">
      <w:r>
        <w:rPr>
          <w:rFonts w:ascii="Verdana Pro" w:hAnsi="Verdana Pro"/>
          <w:color w:val="000000"/>
        </w:rPr>
        <w:t>4. Homogena diferencialna enačba prvega reda. Primer.</w:t>
      </w:r>
    </w:p>
    <w:p w:rsidR="008F24A3" w:rsidRDefault="003F77C3">
      <w:pPr>
        <w:rPr>
          <w:rFonts w:ascii="Verdana Pro" w:hAnsi="Verdana Pro"/>
          <w:color w:val="000000"/>
        </w:rPr>
      </w:pPr>
      <w:r>
        <w:rPr>
          <w:rFonts w:ascii="Verdana Pro" w:hAnsi="Verdana Pro"/>
          <w:color w:val="000000"/>
        </w:rPr>
        <w:t>5. Linearna diferencialna enačba prvega reda</w:t>
      </w:r>
      <w:bookmarkStart w:id="0" w:name="_Hlk511213805"/>
      <w:bookmarkEnd w:id="0"/>
      <w:r>
        <w:rPr>
          <w:rFonts w:ascii="Verdana Pro" w:hAnsi="Verdana Pro"/>
          <w:color w:val="000000"/>
        </w:rPr>
        <w:t xml:space="preserve">. Primer. </w:t>
      </w:r>
    </w:p>
    <w:p w:rsidR="008F24A3" w:rsidRDefault="003F77C3">
      <w:pPr>
        <w:rPr>
          <w:rFonts w:ascii="Verdana Pro" w:hAnsi="Verdana Pro"/>
          <w:color w:val="000000"/>
        </w:rPr>
      </w:pPr>
      <w:r>
        <w:rPr>
          <w:rFonts w:ascii="Verdana Pro" w:hAnsi="Verdana Pro"/>
          <w:color w:val="000000"/>
        </w:rPr>
        <w:t>6. Enačba  F(x, dy/dx)=0. Primer.</w:t>
      </w:r>
    </w:p>
    <w:p w:rsidR="008F24A3" w:rsidRDefault="003F77C3">
      <w:pPr>
        <w:rPr>
          <w:rFonts w:ascii="Verdana Pro" w:hAnsi="Verdana Pro"/>
          <w:color w:val="000000"/>
        </w:rPr>
      </w:pPr>
      <w:r>
        <w:rPr>
          <w:rFonts w:ascii="Verdana Pro" w:hAnsi="Verdana Pro"/>
          <w:color w:val="000000"/>
        </w:rPr>
        <w:t>7. Enačba  F(y, dy/dx)=0. Primer.</w:t>
      </w:r>
    </w:p>
    <w:p w:rsidR="008F24A3" w:rsidRDefault="003F77C3">
      <w:r>
        <w:rPr>
          <w:rFonts w:ascii="Verdana Pro" w:hAnsi="Verdana Pro"/>
          <w:color w:val="000000"/>
        </w:rPr>
        <w:t xml:space="preserve">8. Eksaktna diferencialna enačba. Primer. </w:t>
      </w:r>
    </w:p>
    <w:p w:rsidR="008F24A3" w:rsidRDefault="003F77C3">
      <w:r>
        <w:rPr>
          <w:rFonts w:ascii="Verdana Pro" w:hAnsi="Verdana Pro"/>
          <w:color w:val="000000"/>
        </w:rPr>
        <w:t xml:space="preserve">9. Seštevanje in množenje matrik.  Definicija determinante.  </w:t>
      </w:r>
    </w:p>
    <w:p w:rsidR="008F24A3" w:rsidRDefault="003F77C3">
      <w:r>
        <w:rPr>
          <w:rFonts w:ascii="Verdana Pro" w:hAnsi="Verdana Pro"/>
          <w:color w:val="000000"/>
        </w:rPr>
        <w:t>10. Lastne vrednosti in lastni vektorji matrike.</w:t>
      </w:r>
    </w:p>
    <w:p w:rsidR="008F24A3" w:rsidRDefault="003F77C3">
      <w:r>
        <w:rPr>
          <w:rFonts w:ascii="Verdana Pro" w:hAnsi="Verdana Pro"/>
          <w:color w:val="000000"/>
        </w:rPr>
        <w:t xml:space="preserve">11. </w:t>
      </w:r>
      <w:bookmarkStart w:id="1" w:name="__DdeLink__3428_419540564"/>
      <w:bookmarkEnd w:id="1"/>
      <w:r>
        <w:rPr>
          <w:rFonts w:ascii="Verdana Pro" w:hAnsi="Verdana Pro"/>
          <w:color w:val="000000"/>
        </w:rPr>
        <w:t>Začetni in robni problem za diferencialno enačbo drugega reda. Primer.</w:t>
      </w:r>
    </w:p>
    <w:p w:rsidR="008F24A3" w:rsidRDefault="003F77C3">
      <w:r>
        <w:rPr>
          <w:rFonts w:ascii="Verdana Pro" w:hAnsi="Verdana Pro"/>
          <w:color w:val="000000"/>
        </w:rPr>
        <w:t>12. Izrek o eksistenci in enoličnosti  rešitve in izrek o linearni kombinaciji rešitev za homogeno linearno diferencialno enačbo  drugega  reda.</w:t>
      </w:r>
    </w:p>
    <w:p w:rsidR="008F24A3" w:rsidRDefault="003F77C3">
      <w:r>
        <w:rPr>
          <w:rFonts w:ascii="Verdana Pro" w:hAnsi="Verdana Pro"/>
          <w:color w:val="000000"/>
        </w:rPr>
        <w:t xml:space="preserve">13. Definicija Wronskiana. Izrek o linearno neodvisnih rešitvah in izrek o splošni rešitvi homogene enačbe. </w:t>
      </w:r>
    </w:p>
    <w:p w:rsidR="008F24A3" w:rsidRDefault="003F77C3">
      <w:r>
        <w:rPr>
          <w:rFonts w:ascii="Verdana Pro" w:hAnsi="Verdana Pro"/>
          <w:color w:val="000000"/>
        </w:rPr>
        <w:t>14. Homogena  linearna diferencialna enačba drugega reda s konstantnimi koeficienti (osnovni sistem rešitev, splošna rešitev, primeri).</w:t>
      </w:r>
    </w:p>
    <w:p w:rsidR="008F24A3" w:rsidRDefault="003F77C3">
      <w:r>
        <w:rPr>
          <w:rFonts w:ascii="Verdana Pro" w:hAnsi="Verdana Pro"/>
          <w:color w:val="000000"/>
        </w:rPr>
        <w:t xml:space="preserve">15. Izrek o splošni rešitvi nehomogene   linearne diferencialne enačbe drugega reda. </w:t>
      </w:r>
    </w:p>
    <w:p w:rsidR="008F24A3" w:rsidRDefault="003F77C3">
      <w:r>
        <w:rPr>
          <w:rFonts w:ascii="Verdana Pro" w:hAnsi="Verdana Pro"/>
          <w:color w:val="000000"/>
        </w:rPr>
        <w:t>16. Metoda variacije konstant za  linearno diferencialno enačbo drugega reda.</w:t>
      </w:r>
    </w:p>
    <w:p w:rsidR="008F24A3" w:rsidRDefault="003F77C3">
      <w:r>
        <w:rPr>
          <w:rFonts w:ascii="Verdana Pro" w:hAnsi="Verdana Pro"/>
          <w:color w:val="000000"/>
        </w:rPr>
        <w:lastRenderedPageBreak/>
        <w:t>17. Začetni  problem za diferencialno enačbo n-ga reda. Eksistenčni izrek za linearno diferencialno enačbo n-ga reda.</w:t>
      </w:r>
    </w:p>
    <w:p w:rsidR="008F24A3" w:rsidRDefault="003F77C3">
      <w:r>
        <w:rPr>
          <w:rFonts w:ascii="Verdana Pro" w:hAnsi="Verdana Pro"/>
          <w:color w:val="000000"/>
        </w:rPr>
        <w:t>18. Osnovna množica rešitev linearne diferencialne enačbe n-ga reda. Izrek o splošni rešitvi  linearne homogene  diferencialne enačbe n-ga reda.</w:t>
      </w:r>
    </w:p>
    <w:p w:rsidR="008F24A3" w:rsidRDefault="003F77C3">
      <w:r>
        <w:rPr>
          <w:rFonts w:ascii="Verdana Pro" w:hAnsi="Verdana Pro"/>
          <w:color w:val="000000"/>
        </w:rPr>
        <w:t>19. Rešitev homogene linearne enačbe n-ga reda s konstantnimi koeficienti.</w:t>
      </w:r>
    </w:p>
    <w:p w:rsidR="008F24A3" w:rsidRDefault="003F77C3">
      <w:r>
        <w:rPr>
          <w:rFonts w:ascii="Verdana Pro" w:hAnsi="Verdana Pro"/>
          <w:color w:val="000000"/>
        </w:rPr>
        <w:t>20. Izrek o splošni rešitvi nehomogene linearne diferencialne enačbe n-ga reda.</w:t>
      </w:r>
    </w:p>
    <w:p w:rsidR="008F24A3" w:rsidRDefault="003F77C3">
      <w:r>
        <w:rPr>
          <w:rFonts w:ascii="Verdana Pro" w:hAnsi="Verdana Pro"/>
          <w:color w:val="000000"/>
        </w:rPr>
        <w:t xml:space="preserve">21. Metoda nedoločenih koeficientov za  linearno nehomogeno diferencialno enačbo n-ga reda  s konstantnimi koeficienti.  Primeri. </w:t>
      </w:r>
    </w:p>
    <w:p w:rsidR="008F24A3" w:rsidRDefault="003F77C3">
      <w:r>
        <w:rPr>
          <w:rFonts w:ascii="Verdana Pro" w:hAnsi="Verdana Pro"/>
          <w:color w:val="000000"/>
        </w:rPr>
        <w:t xml:space="preserve">22. Homogeni sistem linearnih diferencialnih enačb (linearna neodvisnost rešitev, osnovni sistem rešitev, splošna rešitev). </w:t>
      </w:r>
    </w:p>
    <w:p w:rsidR="008F24A3" w:rsidRDefault="003F77C3">
      <w:r>
        <w:rPr>
          <w:rFonts w:ascii="Verdana Pro" w:hAnsi="Verdana Pro"/>
          <w:color w:val="000000"/>
        </w:rPr>
        <w:t xml:space="preserve">23. Homogeni sistem linearnih diferencialnih enačb s konstantnimi koeficienti.  Primer. </w:t>
      </w:r>
    </w:p>
    <w:p w:rsidR="008F24A3" w:rsidRDefault="003F77C3">
      <w:r>
        <w:rPr>
          <w:rFonts w:ascii="Verdana Pro" w:hAnsi="Verdana Pro"/>
          <w:color w:val="000000"/>
        </w:rPr>
        <w:t xml:space="preserve">24.  Polje hitrosti in plje smeri sistema diferencialnih enačb drugega reda.  </w:t>
      </w:r>
    </w:p>
    <w:p w:rsidR="008F24A3" w:rsidRDefault="003F77C3">
      <w:r>
        <w:rPr>
          <w:rFonts w:ascii="Verdana Pro" w:hAnsi="Verdana Pro"/>
          <w:color w:val="000000"/>
        </w:rPr>
        <w:t>25. Laplaceova transformacija (definicija, linearnost,  transformacija funkcij f(t)=e</w:t>
      </w:r>
      <w:r>
        <w:rPr>
          <w:rFonts w:ascii="Verdana Pro" w:hAnsi="Verdana Pro"/>
          <w:color w:val="000000"/>
          <w:vertAlign w:val="superscript"/>
        </w:rPr>
        <w:t xml:space="preserve">at   </w:t>
      </w:r>
      <w:r>
        <w:rPr>
          <w:rFonts w:ascii="Verdana Pro" w:hAnsi="Verdana Pro"/>
          <w:color w:val="000000"/>
        </w:rPr>
        <w:t xml:space="preserve">in f(t)=sin t. </w:t>
      </w:r>
    </w:p>
    <w:p w:rsidR="008F24A3" w:rsidRDefault="003F77C3">
      <w:r>
        <w:rPr>
          <w:rFonts w:ascii="Verdana Pro" w:hAnsi="Verdana Pro"/>
          <w:color w:val="000000"/>
        </w:rPr>
        <w:t xml:space="preserve">26. Osnovne lastnosti Laplaceove transformacije (lastnosti 1)-3), primeri.  </w:t>
      </w:r>
    </w:p>
    <w:p w:rsidR="008F24A3" w:rsidRDefault="003F77C3">
      <w:r>
        <w:rPr>
          <w:rFonts w:ascii="Verdana Pro" w:hAnsi="Verdana Pro"/>
          <w:color w:val="000000"/>
        </w:rPr>
        <w:t xml:space="preserve">27. Osnovne lastnosti Laplaceove transformacije (lastnosti 3)-6)), primeri.  </w:t>
      </w:r>
    </w:p>
    <w:p w:rsidR="008F24A3" w:rsidRDefault="003F77C3">
      <w:r>
        <w:rPr>
          <w:rFonts w:ascii="Verdana Pro" w:hAnsi="Verdana Pro"/>
          <w:color w:val="000000"/>
        </w:rPr>
        <w:t xml:space="preserve">28. Inverzna Laplaceova transformacija. Primer. </w:t>
      </w:r>
    </w:p>
    <w:p w:rsidR="008F24A3" w:rsidRDefault="003F77C3">
      <w:r>
        <w:rPr>
          <w:rFonts w:ascii="Verdana Pro" w:hAnsi="Verdana Pro"/>
          <w:color w:val="000000"/>
        </w:rPr>
        <w:t>29. Uporaba Laplaceove transformacije za reševanje  linearnih diferencialnih enačb (primer).</w:t>
      </w:r>
    </w:p>
    <w:p w:rsidR="008F24A3" w:rsidRDefault="003F77C3">
      <w:r>
        <w:rPr>
          <w:rFonts w:ascii="Verdana Pro" w:hAnsi="Verdana Pro"/>
          <w:color w:val="000000"/>
        </w:rPr>
        <w:t xml:space="preserve">30. Uporaba Laplaceove transformacije za reševanje sistemov linearnih  diferencialnih enačb (primer). </w:t>
      </w:r>
    </w:p>
    <w:p w:rsidR="008F24A3" w:rsidRDefault="008F24A3">
      <w:pPr>
        <w:rPr>
          <w:rFonts w:ascii="Verdana Pro" w:hAnsi="Verdana Pro"/>
          <w:color w:val="000000"/>
        </w:rPr>
      </w:pPr>
    </w:p>
    <w:p w:rsidR="008F24A3" w:rsidRDefault="008F24A3">
      <w:pPr>
        <w:rPr>
          <w:rFonts w:ascii="Verdana Pro" w:hAnsi="Verdana Pro"/>
          <w:color w:val="000000"/>
        </w:rPr>
      </w:pPr>
    </w:p>
    <w:p w:rsidR="008F24A3" w:rsidRDefault="003F77C3">
      <w:pPr>
        <w:rPr>
          <w:color w:val="000000"/>
        </w:rPr>
      </w:pPr>
      <w:r>
        <w:rPr>
          <w:color w:val="000000"/>
        </w:rPr>
        <w:t xml:space="preserve"> </w:t>
      </w:r>
    </w:p>
    <w:p w:rsidR="008F24A3" w:rsidRDefault="008F24A3"/>
    <w:sectPr w:rsidR="008F24A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4A3"/>
    <w:rsid w:val="00055781"/>
    <w:rsid w:val="000A47B7"/>
    <w:rsid w:val="003F77C3"/>
    <w:rsid w:val="008F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74E16"/>
  <w15:docId w15:val="{DF50C392-3F0F-4593-8DA2-7AB4777E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sl-SI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color w:val="00000A"/>
      <w:sz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customStyle="1" w:styleId="Heading">
    <w:name w:val="Heading"/>
    <w:basedOn w:val="Navaden"/>
    <w:next w:val="Telobesedila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lobesedila">
    <w:name w:val="Body Text"/>
    <w:basedOn w:val="Navaden"/>
    <w:pPr>
      <w:spacing w:after="140" w:line="288" w:lineRule="auto"/>
    </w:pPr>
  </w:style>
  <w:style w:type="paragraph" w:styleId="Seznam">
    <w:name w:val="List"/>
    <w:basedOn w:val="Telobesedila"/>
  </w:style>
  <w:style w:type="paragraph" w:styleId="Napis">
    <w:name w:val="caption"/>
    <w:basedOn w:val="Navaden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avaden"/>
    <w:qFormat/>
    <w:pPr>
      <w:suppressLineNumbers/>
    </w:pPr>
  </w:style>
  <w:style w:type="paragraph" w:customStyle="1" w:styleId="PreformattedText">
    <w:name w:val="Preformatted Text"/>
    <w:basedOn w:val="Navaden"/>
    <w:qFormat/>
    <w:rPr>
      <w:rFonts w:ascii="Liberation Mono" w:eastAsia="Nimbus Mono L" w:hAnsi="Liberation Mono" w:cs="Liberation Mono"/>
      <w:sz w:val="20"/>
      <w:szCs w:val="20"/>
    </w:rPr>
  </w:style>
  <w:style w:type="paragraph" w:styleId="Odstavekseznama">
    <w:name w:val="List Paragraph"/>
    <w:basedOn w:val="Navaden"/>
    <w:uiPriority w:val="34"/>
    <w:qFormat/>
    <w:rsid w:val="005115C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Romanovskaja</dc:creator>
  <dc:description/>
  <cp:lastModifiedBy>Deni Vinšek</cp:lastModifiedBy>
  <cp:revision>11</cp:revision>
  <dcterms:created xsi:type="dcterms:W3CDTF">2019-05-30T13:00:00Z</dcterms:created>
  <dcterms:modified xsi:type="dcterms:W3CDTF">2020-08-02T17:28:00Z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