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/>
        <w:jc w:val="center"/>
      </w:pPr>
      <w:r>
        <w:rPr>
          <w:rFonts w:ascii="Arial" w:hAnsi="Arial"/>
          <w:b/>
          <w:color w:val="0B2545"/>
          <w:sz w:val="48"/>
        </w:rPr>
        <w:t>BULLSTREET ACADEMY</w:t>
      </w:r>
    </w:p>
    <w:p>
      <w:pPr>
        <w:spacing w:after="480"/>
        <w:jc w:val="center"/>
      </w:pPr>
      <w:r>
        <w:rPr>
          <w:rFonts w:ascii="Arial" w:hAnsi="Arial"/>
          <w:i/>
          <w:color w:val="133C55"/>
          <w:sz w:val="28"/>
        </w:rPr>
        <w:t>Official Website Curriculum &amp; Course Syllabus</w:t>
      </w:r>
    </w:p>
    <w:p>
      <w:pPr>
        <w:keepNext/>
        <w:spacing w:before="360" w:after="160"/>
      </w:pPr>
      <w:r>
        <w:rPr>
          <w:rFonts w:ascii="Arial" w:hAnsi="Arial"/>
          <w:b/>
          <w:color w:val="0B2545"/>
          <w:sz w:val="32"/>
        </w:rPr>
        <w:t>Website Concept &amp; Architecture</w:t>
      </w:r>
    </w:p>
    <w:p>
      <w:pPr>
        <w:spacing w:after="120" w:line="276" w:lineRule="auto"/>
      </w:pPr>
      <w:r>
        <w:rPr>
          <w:b w:val="0"/>
          <w:i w:val="0"/>
          <w:color w:val="282828"/>
        </w:rPr>
        <w:t>Bullstreet Academy offers two distinct, comprehensive learning tracks engineered to cater to traders at different professional stages. A core feature of the Academy structure is package flexibility: regardless of the chosen track, learners can enroll via any of our tailored delivery models.</w:t>
      </w:r>
    </w:p>
    <w:p>
      <w:pPr>
        <w:keepNext/>
        <w:spacing w:before="240" w:after="120"/>
      </w:pPr>
      <w:r>
        <w:rPr>
          <w:rFonts w:ascii="Arial" w:hAnsi="Arial"/>
          <w:b/>
          <w:color w:val="133C55"/>
          <w:sz w:val="26"/>
        </w:rPr>
        <w:t>Available Tracks</w:t>
      </w:r>
    </w:p>
    <w:p>
      <w:pPr>
        <w:spacing w:after="120" w:line="276" w:lineRule="auto"/>
      </w:pPr>
      <w:r>
        <w:rPr>
          <w:b/>
          <w:i w:val="0"/>
          <w:color w:val="282828"/>
        </w:rPr>
        <w:t>1. Retail Trader Track</w:t>
      </w:r>
    </w:p>
    <w:p>
      <w:pPr>
        <w:spacing w:after="120" w:line="276" w:lineRule="auto"/>
      </w:pPr>
      <w:r>
        <w:rPr>
          <w:b/>
          <w:i w:val="0"/>
          <w:color w:val="282828"/>
        </w:rPr>
        <w:t>2. Institutional Track (Phase 1 + Phase 2)</w:t>
      </w:r>
    </w:p>
    <w:p>
      <w:pPr>
        <w:keepNext/>
        <w:spacing w:before="240" w:after="120"/>
      </w:pPr>
      <w:r>
        <w:rPr>
          <w:rFonts w:ascii="Arial" w:hAnsi="Arial"/>
          <w:b/>
          <w:color w:val="133C55"/>
          <w:sz w:val="26"/>
        </w:rPr>
        <w:t>Enrollment Options &amp; Packages</w:t>
      </w:r>
    </w:p>
    <w:p>
      <w:pPr>
        <w:pStyle w:val="ListBullet"/>
        <w:spacing w:after="120" w:line="276" w:lineRule="auto"/>
      </w:pPr>
      <w:r>
        <w:rPr>
          <w:b w:val="0"/>
          <w:i w:val="0"/>
          <w:color w:val="282828"/>
        </w:rPr>
        <w:t>5-Day Intensive Package: Fast-paced live delivery format.</w:t>
      </w:r>
    </w:p>
    <w:p>
      <w:pPr>
        <w:pStyle w:val="ListBullet"/>
        <w:spacing w:after="120" w:line="276" w:lineRule="auto"/>
      </w:pPr>
      <w:r>
        <w:rPr>
          <w:b w:val="0"/>
          <w:i w:val="0"/>
          <w:color w:val="282828"/>
        </w:rPr>
        <w:t>One Month Package: High-engagement framework (Most Popular).</w:t>
      </w:r>
    </w:p>
    <w:p>
      <w:pPr>
        <w:pStyle w:val="ListBullet"/>
        <w:spacing w:after="120" w:line="276" w:lineRule="auto"/>
      </w:pPr>
      <w:r>
        <w:rPr>
          <w:b w:val="0"/>
          <w:i w:val="0"/>
          <w:color w:val="282828"/>
        </w:rPr>
        <w:t>Video Sessions Package: Fully self-paced high-definition video archive.</w:t>
      </w:r>
    </w:p>
    <w:p/>
    <w:p>
      <w:pPr>
        <w:keepNext/>
        <w:spacing w:before="360" w:after="160"/>
      </w:pPr>
      <w:r>
        <w:rPr>
          <w:rFonts w:ascii="Arial" w:hAnsi="Arial"/>
          <w:b/>
          <w:color w:val="0B2545"/>
          <w:sz w:val="32"/>
        </w:rPr>
        <w:t>TRACK 1: BSA RETAIL TRADER SYLLABUS (4 Weeks)</w:t>
      </w:r>
    </w:p>
    <w:p>
      <w:pPr>
        <w:spacing w:after="120" w:line="276" w:lineRule="auto"/>
      </w:pPr>
      <w:r>
        <w:rPr>
          <w:b w:val="0"/>
          <w:i/>
          <w:color w:val="282828"/>
        </w:rPr>
        <w:t>Objective: Master charting software architectures, map institutional liquidities, and establish stable support/resistance baselines.</w:t>
      </w:r>
    </w:p>
    <w:p>
      <w:pPr>
        <w:keepNext/>
        <w:spacing w:before="240" w:after="120"/>
      </w:pPr>
      <w:r>
        <w:rPr>
          <w:rFonts w:ascii="Arial" w:hAnsi="Arial"/>
          <w:b/>
          <w:color w:val="133C55"/>
          <w:sz w:val="26"/>
        </w:rPr>
        <w:t>Week 1: Core Foundations &amp; Platform Setup</w:t>
      </w:r>
    </w:p>
    <w:p>
      <w:pPr>
        <w:spacing w:after="120" w:line="276" w:lineRule="auto"/>
      </w:pPr>
      <w:r>
        <w:rPr>
          <w:b/>
          <w:i w:val="0"/>
          <w:color w:val="282828"/>
        </w:rPr>
        <w:t>Section 1: Platform Onboarding</w:t>
      </w:r>
    </w:p>
    <w:p>
      <w:pPr>
        <w:pStyle w:val="ListBullet"/>
        <w:spacing w:after="120" w:line="276" w:lineRule="auto"/>
      </w:pPr>
      <w:r>
        <w:rPr>
          <w:b w:val="0"/>
          <w:i w:val="0"/>
          <w:color w:val="282828"/>
        </w:rPr>
        <w:t>1.1 Trading Roadblocks: Identify common strategic mistakes, time constraints, and psychological triggers via an initial onboarding Questionnaire.</w:t>
      </w:r>
    </w:p>
    <w:p>
      <w:pPr>
        <w:pStyle w:val="ListBullet"/>
        <w:spacing w:after="120" w:line="276" w:lineRule="auto"/>
      </w:pPr>
      <w:r>
        <w:rPr>
          <w:b w:val="0"/>
          <w:i w:val="0"/>
          <w:color w:val="282828"/>
        </w:rPr>
        <w:t>1.2 Tech Setup: System architecture installation and setup workflows for MT4, MT5, and TradingView.</w:t>
      </w:r>
    </w:p>
    <w:p>
      <w:pPr>
        <w:pStyle w:val="ListBullet"/>
        <w:spacing w:after="120" w:line="276" w:lineRule="auto"/>
      </w:pPr>
      <w:r>
        <w:rPr>
          <w:b w:val="0"/>
          <w:i w:val="0"/>
          <w:color w:val="282828"/>
        </w:rPr>
        <w:t>1.3 Placing Orders: Practical execution parameters covering Market, Limit, Stop-Loss, and Take-Profit systems.</w:t>
      </w:r>
    </w:p>
    <w:p>
      <w:pPr>
        <w:spacing w:after="120" w:line="276" w:lineRule="auto"/>
      </w:pPr>
      <w:r>
        <w:rPr>
          <w:b/>
          <w:i w:val="0"/>
          <w:color w:val="282828"/>
        </w:rPr>
        <w:t>Section 2: Key Level Architecture</w:t>
      </w:r>
    </w:p>
    <w:p>
      <w:pPr>
        <w:pStyle w:val="ListBullet"/>
        <w:spacing w:after="120" w:line="276" w:lineRule="auto"/>
      </w:pPr>
      <w:r>
        <w:rPr>
          <w:b w:val="0"/>
          <w:i w:val="0"/>
          <w:color w:val="282828"/>
        </w:rPr>
        <w:t>2.1 Support &amp; Resistance: The mechanics of drawing precision horizontal structure levels across multiple asset classes.</w:t>
      </w:r>
    </w:p>
    <w:p>
      <w:pPr>
        <w:pStyle w:val="ListBullet"/>
        <w:spacing w:after="120" w:line="276" w:lineRule="auto"/>
      </w:pPr>
      <w:r>
        <w:rPr>
          <w:b w:val="0"/>
          <w:i w:val="0"/>
          <w:color w:val="282828"/>
        </w:rPr>
        <w:t>2.2 Level Validation: Differentiating high-probability structural levels from weak retail trap scenarios.</w:t>
      </w:r>
    </w:p>
    <w:p>
      <w:pPr>
        <w:spacing w:after="120" w:line="276" w:lineRule="auto"/>
      </w:pPr>
      <w:r>
        <w:rPr>
          <w:b w:val="0"/>
          <w:i/>
          <w:color w:val="282828"/>
        </w:rPr>
        <w:t>Homework Challenge: Map daily and 4-hour key structural levels on the EUR/USD pair.</w:t>
      </w:r>
    </w:p>
    <w:p>
      <w:pPr>
        <w:keepNext/>
        <w:spacing w:before="240" w:after="120"/>
      </w:pPr>
      <w:r>
        <w:rPr>
          <w:rFonts w:ascii="Arial" w:hAnsi="Arial"/>
          <w:b/>
          <w:color w:val="133C55"/>
          <w:sz w:val="26"/>
        </w:rPr>
        <w:t>Week 2: Market Trends &amp; Chart Patterns</w:t>
      </w:r>
    </w:p>
    <w:p>
      <w:pPr>
        <w:spacing w:after="120" w:line="276" w:lineRule="auto"/>
      </w:pPr>
      <w:r>
        <w:rPr>
          <w:b/>
          <w:i w:val="0"/>
          <w:color w:val="282828"/>
        </w:rPr>
        <w:t>Section 3: Currency Profiling</w:t>
      </w:r>
    </w:p>
    <w:p>
      <w:pPr>
        <w:pStyle w:val="ListBullet"/>
        <w:spacing w:after="120" w:line="276" w:lineRule="auto"/>
      </w:pPr>
      <w:r>
        <w:rPr>
          <w:b w:val="0"/>
          <w:i w:val="0"/>
          <w:color w:val="282828"/>
        </w:rPr>
        <w:t>3.1 Forex Pairs: Statistical profiling of Major, Minor, and Exotic asset volatility frameworks.</w:t>
      </w:r>
    </w:p>
    <w:p>
      <w:pPr>
        <w:pStyle w:val="ListBullet"/>
        <w:spacing w:after="120" w:line="276" w:lineRule="auto"/>
      </w:pPr>
      <w:r>
        <w:rPr>
          <w:b w:val="0"/>
          <w:i w:val="0"/>
          <w:color w:val="282828"/>
        </w:rPr>
        <w:t>3.2 Multi-Timeframe Edge: Top-down alignment utilizing Daily charts for macro trend determination, 1-Hour for market structure mapping, and 15-Minute windows for clean precision entries.</w:t>
      </w:r>
    </w:p>
    <w:p>
      <w:pPr>
        <w:spacing w:after="120" w:line="276" w:lineRule="auto"/>
      </w:pPr>
      <w:r>
        <w:rPr>
          <w:b/>
          <w:i w:val="0"/>
          <w:color w:val="282828"/>
        </w:rPr>
        <w:t>Section 4: Trend &amp; Pattern Analysis</w:t>
      </w:r>
    </w:p>
    <w:p>
      <w:pPr>
        <w:pStyle w:val="ListBullet"/>
        <w:spacing w:after="120" w:line="276" w:lineRule="auto"/>
      </w:pPr>
      <w:r>
        <w:rPr>
          <w:b w:val="0"/>
          <w:i w:val="0"/>
          <w:color w:val="282828"/>
        </w:rPr>
        <w:t>4.1 Market Trends: Technical identification of clear Uptrends, Downtrends, and complex Ranging consolidation environments.</w:t>
      </w:r>
    </w:p>
    <w:p>
      <w:pPr>
        <w:pStyle w:val="ListBullet"/>
        <w:spacing w:after="120" w:line="276" w:lineRule="auto"/>
      </w:pPr>
      <w:r>
        <w:rPr>
          <w:b w:val="0"/>
          <w:i w:val="0"/>
          <w:color w:val="282828"/>
        </w:rPr>
        <w:t>4.2 Chart Patterns: Structural parsing of core configurations including Head &amp; Shoulders, Double Tops/Bottoms, Flags, and Triangles.</w:t>
      </w:r>
    </w:p>
    <w:p>
      <w:pPr>
        <w:keepNext/>
        <w:spacing w:before="240" w:after="120"/>
      </w:pPr>
      <w:r>
        <w:rPr>
          <w:rFonts w:ascii="Arial" w:hAnsi="Arial"/>
          <w:b/>
          <w:color w:val="133C55"/>
          <w:sz w:val="26"/>
        </w:rPr>
        <w:t>Week 3: Technical Indicators &amp; Kenny Black Strategies</w:t>
      </w:r>
    </w:p>
    <w:p>
      <w:pPr>
        <w:spacing w:after="120" w:line="276" w:lineRule="auto"/>
      </w:pPr>
      <w:r>
        <w:rPr>
          <w:b/>
          <w:i w:val="0"/>
          <w:color w:val="282828"/>
        </w:rPr>
        <w:t>Section 5: Advanced Technical Toolkit</w:t>
      </w:r>
    </w:p>
    <w:p>
      <w:pPr>
        <w:pStyle w:val="ListBullet"/>
        <w:spacing w:after="120" w:line="276" w:lineRule="auto"/>
      </w:pPr>
      <w:r>
        <w:rPr>
          <w:b w:val="0"/>
          <w:i w:val="0"/>
          <w:color w:val="282828"/>
        </w:rPr>
        <w:t>5.1 Moving Averages: Deploying and backtesting the 50 &amp; 200 Exponential Moving Averages (EMA).</w:t>
      </w:r>
    </w:p>
    <w:p>
      <w:pPr>
        <w:pStyle w:val="ListBullet"/>
        <w:spacing w:after="120" w:line="276" w:lineRule="auto"/>
      </w:pPr>
      <w:r>
        <w:rPr>
          <w:b w:val="0"/>
          <w:i w:val="0"/>
          <w:color w:val="282828"/>
        </w:rPr>
        <w:t>5.2 Supply &amp; Demand: Locating and grading institutional supply and demand high-probability zones.</w:t>
      </w:r>
    </w:p>
    <w:p>
      <w:pPr>
        <w:pStyle w:val="ListBullet"/>
        <w:spacing w:after="120" w:line="276" w:lineRule="auto"/>
      </w:pPr>
      <w:r>
        <w:rPr>
          <w:b w:val="0"/>
          <w:i w:val="0"/>
          <w:color w:val="282828"/>
        </w:rPr>
        <w:t>5.3 Trendlines &amp; Fibonacci: Applying geometric trendlines alongside Fibonacci golden ratio retracements.</w:t>
      </w:r>
    </w:p>
    <w:p>
      <w:pPr>
        <w:pStyle w:val="ListBullet"/>
        <w:spacing w:after="120" w:line="276" w:lineRule="auto"/>
      </w:pPr>
      <w:r>
        <w:rPr>
          <w:b w:val="0"/>
          <w:i w:val="0"/>
          <w:color w:val="282828"/>
        </w:rPr>
        <w:t>5.4 Market Structure: Deep dive into structural shifts, specifically Break of Structure (BOS) and Change of Character (CHOCH).</w:t>
      </w:r>
    </w:p>
    <w:p>
      <w:pPr>
        <w:spacing w:after="120" w:line="276" w:lineRule="auto"/>
      </w:pPr>
      <w:r>
        <w:rPr>
          <w:b/>
          <w:i w:val="0"/>
          <w:color w:val="282828"/>
        </w:rPr>
        <w:t>Section 6: Execution &amp; Risk Management</w:t>
      </w:r>
    </w:p>
    <w:p>
      <w:pPr>
        <w:pStyle w:val="ListBullet"/>
        <w:spacing w:after="120" w:line="276" w:lineRule="auto"/>
      </w:pPr>
      <w:r>
        <w:rPr>
          <w:b w:val="0"/>
          <w:i w:val="0"/>
          <w:color w:val="282828"/>
        </w:rPr>
        <w:t>6.1 Reversal Strategy: Trading trapped market players and understanding institutional liquidity sweeps.</w:t>
      </w:r>
    </w:p>
    <w:p>
      <w:pPr>
        <w:pStyle w:val="ListBullet"/>
        <w:spacing w:after="120" w:line="276" w:lineRule="auto"/>
      </w:pPr>
      <w:r>
        <w:rPr>
          <w:b w:val="0"/>
          <w:i w:val="0"/>
          <w:color w:val="282828"/>
        </w:rPr>
        <w:t>6.2 Continuation Strategy: Executing high-probability pullbacks and momentum breakouts.</w:t>
      </w:r>
    </w:p>
    <w:p>
      <w:pPr>
        <w:pStyle w:val="ListBullet"/>
        <w:spacing w:after="120" w:line="276" w:lineRule="auto"/>
      </w:pPr>
      <w:r>
        <w:rPr>
          <w:b w:val="0"/>
          <w:i w:val="0"/>
          <w:color w:val="282828"/>
        </w:rPr>
        <w:t>6.3 Risk Rules: Preserving capital using strict 1-2% risk metrics per trade allocation and absolute lot size mathematical calculations.</w:t>
      </w:r>
    </w:p>
    <w:p>
      <w:pPr>
        <w:keepNext/>
        <w:spacing w:before="240" w:after="120"/>
      </w:pPr>
      <w:r>
        <w:rPr>
          <w:rFonts w:ascii="Arial" w:hAnsi="Arial"/>
          <w:b/>
          <w:color w:val="133C55"/>
          <w:sz w:val="26"/>
        </w:rPr>
        <w:t>Week 4: Session Liquidity &amp; Psychology</w:t>
      </w:r>
    </w:p>
    <w:p>
      <w:pPr>
        <w:spacing w:after="120" w:line="276" w:lineRule="auto"/>
      </w:pPr>
      <w:r>
        <w:rPr>
          <w:b/>
          <w:i w:val="0"/>
          <w:color w:val="282828"/>
        </w:rPr>
        <w:t>Section 7: Sessions &amp; Workspaces</w:t>
      </w:r>
    </w:p>
    <w:p>
      <w:pPr>
        <w:pStyle w:val="ListBullet"/>
        <w:spacing w:after="120" w:line="276" w:lineRule="auto"/>
      </w:pPr>
      <w:r>
        <w:rPr>
          <w:b w:val="0"/>
          <w:i w:val="0"/>
          <w:color w:val="282828"/>
        </w:rPr>
        <w:t>7.1 Global Sessions: Volume and liquidity analysis across the Asian, London, and New York trading sessions.</w:t>
      </w:r>
    </w:p>
    <w:p>
      <w:pPr>
        <w:pStyle w:val="ListBullet"/>
        <w:spacing w:after="120" w:line="276" w:lineRule="auto"/>
      </w:pPr>
      <w:r>
        <w:rPr>
          <w:b w:val="0"/>
          <w:i w:val="0"/>
          <w:color w:val="282828"/>
        </w:rPr>
        <w:t>7.2 Layout Optimization: Structuring screen layouts to filter market noise and remain highly focused.</w:t>
      </w:r>
    </w:p>
    <w:p>
      <w:pPr>
        <w:spacing w:after="120" w:line="276" w:lineRule="auto"/>
      </w:pPr>
      <w:r>
        <w:rPr>
          <w:b/>
          <w:i w:val="0"/>
          <w:color w:val="282828"/>
        </w:rPr>
        <w:t>Section 8: Psychology &amp; Capstone</w:t>
      </w:r>
    </w:p>
    <w:p>
      <w:pPr>
        <w:pStyle w:val="ListBullet"/>
        <w:spacing w:after="120" w:line="276" w:lineRule="auto"/>
      </w:pPr>
      <w:r>
        <w:rPr>
          <w:b w:val="0"/>
          <w:i w:val="0"/>
          <w:color w:val="282828"/>
        </w:rPr>
        <w:t>8.1 Discipline Mastery: Overcoming cognitive biases such as Fear, Greed, and Revenge Trading.</w:t>
      </w:r>
    </w:p>
    <w:p>
      <w:pPr>
        <w:pStyle w:val="ListBullet"/>
        <w:spacing w:after="120" w:line="276" w:lineRule="auto"/>
      </w:pPr>
      <w:r>
        <w:rPr>
          <w:b w:val="0"/>
          <w:i w:val="0"/>
          <w:color w:val="282828"/>
        </w:rPr>
        <w:t>8.2 Full Market Blueprint: Mastering end-to-end multi-variable top-down technical analysis.</w:t>
      </w:r>
    </w:p>
    <w:p>
      <w:pPr>
        <w:spacing w:after="120" w:line="276" w:lineRule="auto"/>
      </w:pPr>
      <w:r>
        <w:rPr>
          <w:b w:val="0"/>
          <w:i/>
          <w:color w:val="282828"/>
        </w:rPr>
        <w:t>Graduation Requirement: Submit an institutional-grade personalized trading plan accompanied by an operational execution checklist.</w:t>
      </w:r>
    </w:p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0B2545"/>
          <w:sz w:val="32"/>
        </w:rPr>
        <w:t>TRACK 2: INSTITUTIONAL CURRICULUM</w:t>
      </w:r>
    </w:p>
    <w:p>
      <w:pPr>
        <w:keepNext/>
        <w:spacing w:before="240" w:after="120"/>
      </w:pPr>
      <w:r>
        <w:rPr>
          <w:rFonts w:ascii="Arial" w:hAnsi="Arial"/>
          <w:b/>
          <w:color w:val="133C55"/>
          <w:sz w:val="26"/>
        </w:rPr>
        <w:t>PHASE 1: Foundation &amp; DOM Mastery — Total: 21 Videos</w:t>
      </w:r>
    </w:p>
    <w:p>
      <w:pPr>
        <w:spacing w:after="120" w:line="276" w:lineRule="auto"/>
      </w:pPr>
      <w:r>
        <w:rPr>
          <w:b w:val="0"/>
          <w:i/>
          <w:color w:val="282828"/>
        </w:rPr>
        <w:t>Special Inclusion: Free Custom Depth of Market (DOM) software template worth $2,500 + All future technical updates.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B2545"/>
          </w:tcPr>
          <w:p>
            <w:pPr>
              <w:jc w:val="left"/>
            </w:pPr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3120"/>
            <w:shd w:fill="0B2545"/>
          </w:tcPr>
          <w:p>
            <w:pPr>
              <w:jc w:val="left"/>
            </w:pPr>
            <w:r>
              <w:rPr>
                <w:b/>
                <w:color w:val="FFFFFF"/>
              </w:rPr>
              <w:t>Core Topics Covered</w:t>
            </w:r>
          </w:p>
        </w:tc>
        <w:tc>
          <w:tcPr>
            <w:tcW w:type="dxa" w:w="3120"/>
            <w:shd w:fill="0B2545"/>
          </w:tcPr>
          <w:p>
            <w:pPr>
              <w:jc w:val="left"/>
            </w:pPr>
            <w:r>
              <w:rPr>
                <w:b/>
                <w:color w:val="FFFFFF"/>
              </w:rPr>
              <w:t>Video Count</w:t>
            </w:r>
          </w:p>
        </w:tc>
      </w:tr>
      <w:tr>
        <w:tc>
          <w:tcPr>
            <w:tcW w:type="dxa" w:w="3120"/>
            <w:shd w:fill="F4F6F7"/>
          </w:tcPr>
          <w:p>
            <w:r>
              <w:t>Section 1</w:t>
            </w:r>
          </w:p>
        </w:tc>
        <w:tc>
          <w:tcPr>
            <w:tcW w:type="dxa" w:w="3120"/>
            <w:shd w:fill="F4F6F7"/>
          </w:tcPr>
          <w:p>
            <w:r>
              <w:t>Introduction &amp; What to Expect (Welcome, Process 0-100%, Operational Timetable)</w:t>
            </w:r>
          </w:p>
        </w:tc>
        <w:tc>
          <w:tcPr>
            <w:tcW w:type="dxa" w:w="3120"/>
            <w:shd w:fill="F4F6F7"/>
          </w:tcPr>
          <w:p>
            <w:r>
              <w:t>3 Videos</w:t>
            </w:r>
          </w:p>
        </w:tc>
      </w:tr>
      <w:tr>
        <w:tc>
          <w:tcPr>
            <w:tcW w:type="dxa" w:w="3120"/>
            <w:shd w:fill="FFFFFF"/>
          </w:tcPr>
          <w:p>
            <w:r>
              <w:t>Section 2</w:t>
            </w:r>
          </w:p>
        </w:tc>
        <w:tc>
          <w:tcPr>
            <w:tcW w:type="dxa" w:w="3120"/>
            <w:shd w:fill="FFFFFF"/>
          </w:tcPr>
          <w:p>
            <w:r>
              <w:t>Trading Data: Institutional Perspective (Trading as a Business, Retail vs. Institutional Gap)</w:t>
            </w:r>
          </w:p>
        </w:tc>
        <w:tc>
          <w:tcPr>
            <w:tcW w:type="dxa" w:w="3120"/>
            <w:shd w:fill="FFFFFF"/>
          </w:tcPr>
          <w:p>
            <w:r>
              <w:t>2 Videos</w:t>
            </w:r>
          </w:p>
        </w:tc>
      </w:tr>
      <w:tr>
        <w:tc>
          <w:tcPr>
            <w:tcW w:type="dxa" w:w="3120"/>
            <w:shd w:fill="F4F6F7"/>
          </w:tcPr>
          <w:p>
            <w:r>
              <w:t>Section 3</w:t>
            </w:r>
          </w:p>
        </w:tc>
        <w:tc>
          <w:tcPr>
            <w:tcW w:type="dxa" w:w="3120"/>
            <w:shd w:fill="F4F6F7"/>
          </w:tcPr>
          <w:p>
            <w:r>
              <w:t>Trading Data: Going Deeper (Real World Mechanics, The Trader Journey, Key Ecosystem Components)</w:t>
            </w:r>
          </w:p>
        </w:tc>
        <w:tc>
          <w:tcPr>
            <w:tcW w:type="dxa" w:w="3120"/>
            <w:shd w:fill="F4F6F7"/>
          </w:tcPr>
          <w:p>
            <w:r>
              <w:t>4 Videos</w:t>
            </w:r>
          </w:p>
        </w:tc>
      </w:tr>
      <w:tr>
        <w:tc>
          <w:tcPr>
            <w:tcW w:type="dxa" w:w="3120"/>
            <w:shd w:fill="FFFFFF"/>
          </w:tcPr>
          <w:p>
            <w:r>
              <w:t>Section 4</w:t>
            </w:r>
          </w:p>
        </w:tc>
        <w:tc>
          <w:tcPr>
            <w:tcW w:type="dxa" w:w="3120"/>
            <w:shd w:fill="FFFFFF"/>
          </w:tcPr>
          <w:p>
            <w:r>
              <w:t>Market Observation Like a Professional (DOM Exercise P1 &amp; P2, Consolidating Institutional Data Flows)</w:t>
            </w:r>
          </w:p>
        </w:tc>
        <w:tc>
          <w:tcPr>
            <w:tcW w:type="dxa" w:w="3120"/>
            <w:shd w:fill="FFFFFF"/>
          </w:tcPr>
          <w:p>
            <w:r>
              <w:t>3 Videos</w:t>
            </w:r>
          </w:p>
        </w:tc>
      </w:tr>
      <w:tr>
        <w:tc>
          <w:tcPr>
            <w:tcW w:type="dxa" w:w="3120"/>
            <w:shd w:fill="F4F6F7"/>
          </w:tcPr>
          <w:p>
            <w:r>
              <w:t>Section 5</w:t>
            </w:r>
          </w:p>
        </w:tc>
        <w:tc>
          <w:tcPr>
            <w:tcW w:type="dxa" w:w="3120"/>
            <w:shd w:fill="F4F6F7"/>
          </w:tcPr>
          <w:p>
            <w:r>
              <w:t>Depth of Market Full Installation (Installation Intro, Platform Comparison, Parts 1-5, Contract Selection)</w:t>
            </w:r>
          </w:p>
        </w:tc>
        <w:tc>
          <w:tcPr>
            <w:tcW w:type="dxa" w:w="3120"/>
            <w:shd w:fill="F4F6F7"/>
          </w:tcPr>
          <w:p>
            <w:r>
              <w:t>8 Videos</w:t>
            </w:r>
          </w:p>
        </w:tc>
      </w:tr>
    </w:tbl>
    <w:p/>
    <w:p>
      <w:pPr>
        <w:keepNext/>
        <w:spacing w:before="240" w:after="120"/>
      </w:pPr>
      <w:r>
        <w:rPr>
          <w:rFonts w:ascii="Arial" w:hAnsi="Arial"/>
          <w:b/>
          <w:color w:val="133C55"/>
          <w:sz w:val="26"/>
        </w:rPr>
        <w:t>PHASE 2: Order Flow &amp; Execution Mastery — Total: 12 Videos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B2545"/>
          </w:tcPr>
          <w:p>
            <w:pPr>
              <w:jc w:val="left"/>
            </w:pPr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3120"/>
            <w:shd w:fill="0B2545"/>
          </w:tcPr>
          <w:p>
            <w:pPr>
              <w:jc w:val="left"/>
            </w:pPr>
            <w:r>
              <w:rPr>
                <w:b/>
                <w:color w:val="FFFFFF"/>
              </w:rPr>
              <w:t>Core Topics Covered</w:t>
            </w:r>
          </w:p>
        </w:tc>
        <w:tc>
          <w:tcPr>
            <w:tcW w:type="dxa" w:w="3120"/>
            <w:shd w:fill="0B2545"/>
          </w:tcPr>
          <w:p>
            <w:pPr>
              <w:jc w:val="left"/>
            </w:pPr>
            <w:r>
              <w:rPr>
                <w:b/>
                <w:color w:val="FFFFFF"/>
              </w:rPr>
              <w:t>Video Count</w:t>
            </w:r>
          </w:p>
        </w:tc>
      </w:tr>
      <w:tr>
        <w:tc>
          <w:tcPr>
            <w:tcW w:type="dxa" w:w="3120"/>
            <w:shd w:fill="F4F6F7"/>
          </w:tcPr>
          <w:p>
            <w:r>
              <w:t>Section 1</w:t>
            </w:r>
          </w:p>
        </w:tc>
        <w:tc>
          <w:tcPr>
            <w:tcW w:type="dxa" w:w="3120"/>
            <w:shd w:fill="F4F6F7"/>
          </w:tcPr>
          <w:p>
            <w:r>
              <w:t>Footprint Chart Architecture (Bid/Ask, Delta, Volume Clusters, Imbalance Mechanics)</w:t>
            </w:r>
          </w:p>
        </w:tc>
        <w:tc>
          <w:tcPr>
            <w:tcW w:type="dxa" w:w="3120"/>
            <w:shd w:fill="F4F6F7"/>
          </w:tcPr>
          <w:p>
            <w:r>
              <w:t>3 Videos</w:t>
            </w:r>
          </w:p>
        </w:tc>
      </w:tr>
      <w:tr>
        <w:tc>
          <w:tcPr>
            <w:tcW w:type="dxa" w:w="3120"/>
            <w:shd w:fill="FFFFFF"/>
          </w:tcPr>
          <w:p>
            <w:r>
              <w:t>Section 2</w:t>
            </w:r>
          </w:p>
        </w:tc>
        <w:tc>
          <w:tcPr>
            <w:tcW w:type="dxa" w:w="3120"/>
            <w:shd w:fill="FFFFFF"/>
          </w:tcPr>
          <w:p>
            <w:r>
              <w:t>Tracking Aggressive &amp; Passive Behavior (Aggressive Orders, Delta Spikes, Passive Absorption, Exhaustion vs. Absorption)</w:t>
            </w:r>
          </w:p>
        </w:tc>
        <w:tc>
          <w:tcPr>
            <w:tcW w:type="dxa" w:w="3120"/>
            <w:shd w:fill="FFFFFF"/>
          </w:tcPr>
          <w:p>
            <w:r>
              <w:t>3 Videos</w:t>
            </w:r>
          </w:p>
        </w:tc>
      </w:tr>
      <w:tr>
        <w:tc>
          <w:tcPr>
            <w:tcW w:type="dxa" w:w="3120"/>
            <w:shd w:fill="F4F6F7"/>
          </w:tcPr>
          <w:p>
            <w:r>
              <w:t>Section 3</w:t>
            </w:r>
          </w:p>
        </w:tc>
        <w:tc>
          <w:tcPr>
            <w:tcW w:type="dxa" w:w="3120"/>
            <w:shd w:fill="F4F6F7"/>
          </w:tcPr>
          <w:p>
            <w:r>
              <w:t>Trade Validation &amp; Contextual Integration (Validating Structural Levels, DOM + Footprint Confluence, Faked Breakouts)</w:t>
            </w:r>
          </w:p>
        </w:tc>
        <w:tc>
          <w:tcPr>
            <w:tcW w:type="dxa" w:w="3120"/>
            <w:shd w:fill="F4F6F7"/>
          </w:tcPr>
          <w:p>
            <w:r>
              <w:t>3 Videos</w:t>
            </w:r>
          </w:p>
        </w:tc>
      </w:tr>
      <w:tr>
        <w:tc>
          <w:tcPr>
            <w:tcW w:type="dxa" w:w="3120"/>
            <w:shd w:fill="FFFFFF"/>
          </w:tcPr>
          <w:p>
            <w:r>
              <w:t>Section 4</w:t>
            </w:r>
          </w:p>
        </w:tc>
        <w:tc>
          <w:tcPr>
            <w:tcW w:type="dxa" w:w="3120"/>
            <w:shd w:fill="FFFFFF"/>
          </w:tcPr>
          <w:p>
            <w:r>
              <w:t>Workspace Optimization &amp; Execution Design (Professional Template Setup, Filtering Structural Noise, Execution Blueprint Checklist)</w:t>
            </w:r>
          </w:p>
        </w:tc>
        <w:tc>
          <w:tcPr>
            <w:tcW w:type="dxa" w:w="3120"/>
            <w:shd w:fill="FFFFFF"/>
          </w:tcPr>
          <w:p>
            <w:r>
              <w:t>3 Videos</w:t>
            </w:r>
          </w:p>
        </w:tc>
      </w:tr>
    </w:tbl>
    <w:p/>
    <w:p>
      <w:pPr>
        <w:keepNext/>
        <w:spacing w:before="360" w:after="160"/>
      </w:pPr>
      <w:r>
        <w:rPr>
          <w:rFonts w:ascii="Arial" w:hAnsi="Arial"/>
          <w:b/>
          <w:color w:val="0B2545"/>
          <w:sz w:val="32"/>
        </w:rPr>
        <w:t>Summary for Website Display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  <w:tcBorders>
              <w:left w:val="single" w:sz="24" w:space="0" w:color="0B2545"/>
              <w:top w:val="none"/>
              <w:bottom w:val="none"/>
              <w:right w:val="none"/>
            </w:tcBorders>
          </w:tcPr>
          <w:p>
            <w:pPr>
              <w:spacing w:before="120" w:after="120"/>
              <w:ind w:left="144" w:right="144"/>
            </w:pPr>
            <w:r>
              <w:rPr>
                <w:i/>
                <w:color w:val="0B2545"/>
              </w:rPr>
              <w:t>User Funnel Architecture: User Chooses Track [Retail OR Institutional (Phase 1 + Phase 2 = 33 Videos)] → User Selects Delivery Package [5-Day Intensive / One Month Framework / Self-Paced Video Sessions]. All training tiers remain functional and available across both foundational tracks.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