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Задача №4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Контекст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PostgreSQL существуют такие вещи как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партиции таблиц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Ознакомиться с тем что это такое и как это употреблять можно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здесь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Достаточно посмотреть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пункт 1.1.1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но можно и больше :)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Постановка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Усложним предыдущую задачу и cоздадим представление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v_rec_level_partition_info(parent_schema, parent_table, child_schema, child_table, part_level)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которая агрегирует информацию о партициях первого уровня (непосредственные партиции), второго уровня (таблица и партиции партиций) и так далее. Скрипт создания должен быть нечувствителен к уже объявленным представлениям. Можно создавать вспомогательные представления и CTE.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dt_totals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dt_total date NOT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geo varchar(2) not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impressions integer DEFAULT 0 NOT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sales integer DEFAULT 0 NOT 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 BY RANGE (dt_total);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dt_totals_201801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PARTITION OF dt_totals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VALUES FROM ('2018-01-01') TO ('2018-01-31')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PARTITION BY LIST (geo);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dt_totals_UK_201801 PARTITION OF dt_totals_201801 FOR VALUES IN ('UK');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dt_totals_US_201801 PARTITION OF dt_totals_201801 FOR VALUES IN ('US');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dt_totals_AU_201801 PARTITION OF dt_totals_201801 FOR VALUES IN ('AU');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запроса к нашему представлению: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part_level,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parent_schema,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parent_table,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child_schema,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child_table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v_rec_level_partition_info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part_level,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parent_schema,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parent_table,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child_schema,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child_table;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------------------------------------------------------------------------------------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part_level | parent_schema | parent_table    | child_schema |   child_table       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|------------|---------------|------------------|--------------|---------------------|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1      |     public    | dt_totals        |    public    | dt_totals_201801   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1      |     public    | dt_totals_201801 |    public    | dt_totals_au_201801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1      |     public    | dt_totals_201801 |    public    | dt_totals_uk_201801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1      |     public    | dt_totals_201801 |    public    | dt_totals_us_201801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2      |     public    | dt_totals        |    public    | dt_totals_au_201801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2      |     public    | dt_totals        |    public    | dt_totals_uk_201801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2      |     public    | dt_totals        |    public    | dt_totals_us_201801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------------------------------------------------------------------------------------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Ожидаемый формат ответа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Выводить ничего не надо. Скрипт с решением должен содержать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только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объявление представления.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lab.atp-fivt.org/courses-public/db2023-supplementary/global/-/tree/main/practice/seminars/11-olap#11-partitioning-%D0%BF%D0%B0%D1%80%D1%82%D0%B8%D1%86%D0%B8%D1%80%D0%BE%D0%B2%D0%B0%D0%BD%D0%B8%D0%B5%D1%81%D0%B5%D0%BA%D1%86%D0%B8%D0%BE%D0%BD%D0%B8%D1%80%D0%BE%D0%B2%D0%B0%D0%BD%D0%B8%D0%B5" TargetMode="External"/><Relationship Id="rId8" Type="http://schemas.openxmlformats.org/officeDocument/2006/relationships/hyperlink" Target="https://gitlab.atp-fivt.org/courses-public/db2023-supplementary/global/-/tree/main/practice/seminars/11-olap#111-%D0%BE%D0%B1%D1%89%D0%B8%D0%B5-%D1%81%D0%B2%D0%B5%D0%B4%D0%B5%D0%BD%D0%B8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GuhkniuX2sU79WNwb3+gaoetfA==">CgMxLjAyCWlkLmdqZGd4czIKaWQuMzBqMHpsbDIKaWQuMWZvYjl0ZTIKaWQuM3pueXNoNzgAciExdU9TMXFhSmw2V2JvSzVrUGZVajJaTHRHN0NINHVXMTU=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2024-11-20T17:27:01Z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