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trimestral de ventas</w:t>
      </w:r>
    </w:p>
    <w:p>
      <w:pPr>
        <w:pStyle w:val="Subtitle"/>
      </w:pPr>
      <w:r>
        <w:t>Resumen ejecutivo del trimestre con cifras, comparativas y previsiones para el siguiente periodo fiscal.</w:t>
      </w:r>
    </w:p>
    <w:p>
      <w:pPr>
        <w:pStyle w:val="Heading1"/>
      </w:pPr>
      <w:r>
        <w:t>1. Introducción</w:t>
      </w:r>
    </w:p>
    <w:p>
      <w:r>
        <w:t xml:space="preserve">Este documento resume los </w:t>
      </w:r>
      <w:r>
        <w:rPr>
          <w:b/>
        </w:rPr>
        <w:t>resultados</w:t>
      </w:r>
      <w:r>
        <w:t xml:space="preserve"> del trimestre y las </w:t>
      </w:r>
      <w:r>
        <w:rPr>
          <w:i/>
        </w:rPr>
        <w:t>previsiones</w:t>
      </w:r>
      <w:r>
        <w:t xml:space="preserve"> para el siguiente periodo. Incluye </w:t>
      </w:r>
      <w:r>
        <w:rPr>
          <w:u w:val="single"/>
        </w:rPr>
        <w:t>subrayado</w:t>
      </w:r>
      <w:r>
        <w:t xml:space="preserve">, </w:t>
      </w:r>
      <w:r>
        <w:rPr>
          <w:color w:val="C00000"/>
        </w:rPr>
        <w:t>color rojo</w:t>
      </w:r>
      <w:r>
        <w:t xml:space="preserve">, </w:t>
      </w:r>
      <w:r>
        <w:rPr>
          <w:sz w:val="32"/>
        </w:rPr>
        <w:t>texto grande</w:t>
      </w:r>
      <w:r>
        <w:t xml:space="preserve"> y un enlace a </w:t>
      </w:r>
      <w:hyperlink r:id="rId11">
        <w:r>
          <w:rPr>
            <w:rStyle w:val="Hyperlink"/>
            <w:color w:val="0563C1"/>
            <w:u w:val="single"/>
          </w:rPr>
          <w:t>example.com</w:t>
        </w:r>
      </w:hyperlink>
      <w:r>
        <w:t>. Fórmula: H</w:t>
      </w:r>
      <w:r>
        <w:rPr>
          <w:vertAlign w:val="subscript"/>
        </w:rPr>
        <w:t>2</w:t>
      </w:r>
      <w:r>
        <w:t>O y x</w:t>
      </w:r>
      <w:r>
        <w:rPr>
          <w:vertAlign w:val="superscript"/>
        </w:rPr>
        <w:t>2</w:t>
      </w:r>
      <w:r>
        <w:t>.</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r>
        <w:t>2. Listas</w:t>
      </w:r>
    </w:p>
    <w:p>
      <w:pPr>
        <w:pStyle w:val="ListBullet"/>
      </w:pPr>
      <w:r>
        <w:t>Primer punto</w:t>
      </w:r>
    </w:p>
    <w:p>
      <w:pPr>
        <w:pStyle w:val="ListBullet"/>
      </w:pPr>
      <w:r>
        <w:t>Segundo punto</w:t>
      </w:r>
    </w:p>
    <w:p>
      <w:pPr>
        <w:pStyle w:val="ListBullet"/>
      </w:pPr>
      <w:r>
        <w:t>Tercer punto</w:t>
      </w:r>
    </w:p>
    <w:p>
      <w:pPr>
        <w:pStyle w:val="ListBullet2"/>
      </w:pPr>
      <w:r>
        <w:t>Subpunto anidado</w:t>
      </w:r>
    </w:p>
    <w:p>
      <w:pPr>
        <w:pStyle w:val="ListNumber"/>
      </w:pPr>
      <w:r>
        <w:t>Preparar los datos</w:t>
      </w:r>
    </w:p>
    <w:p>
      <w:pPr>
        <w:pStyle w:val="ListNumber"/>
      </w:pPr>
      <w:r>
        <w:t>Revisar las cifras</w:t>
      </w:r>
    </w:p>
    <w:p>
      <w:pPr>
        <w:pStyle w:val="ListNumber"/>
      </w:pPr>
      <w:r>
        <w:t>Enviar el informe</w:t>
      </w:r>
    </w:p>
    <w:p>
      <w:pPr>
        <w:pStyle w:val="Heading1"/>
      </w:pPr>
      <w:r>
        <w:t>3. Tabla de resultados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
              <w:rPr>
                <w:b/>
                <w:color w:val="FFFFFF"/>
              </w:rPr>
              <w:t>Producto</w:t>
            </w:r>
          </w:p>
        </w:tc>
        <w:tc>
          <w:tcPr>
            <w:tcW w:type="dxa" w:w="2268"/>
            <w:shd w:val="clear" w:color="auto" w:fill="1F3864"/>
          </w:tcPr>
          <w:p>
            <w:r/>
            <w:r>
              <w:rPr>
                <w:b/>
                <w:color w:val="FFFFFF"/>
              </w:rPr>
              <w:t>Unidades</w:t>
            </w:r>
          </w:p>
        </w:tc>
        <w:tc>
          <w:tcPr>
            <w:tcW w:type="dxa" w:w="2268"/>
            <w:shd w:val="clear" w:color="auto" w:fill="1F3864"/>
          </w:tcPr>
          <w:p>
            <w:r/>
            <w:r>
              <w:rPr>
                <w:b/>
                <w:color w:val="FFFFFF"/>
              </w:rPr>
              <w:t>Precio</w:t>
            </w:r>
          </w:p>
        </w:tc>
        <w:tc>
          <w:tcPr>
            <w:tcW w:type="dxa" w:w="2268"/>
            <w:shd w:val="clear" w:color="auto" w:fill="1F3864"/>
          </w:tcPr>
          <w:p>
            <w:r/>
            <w:r>
              <w:rPr>
                <w:b/>
                <w:color w:val="FFFFFF"/>
              </w:rPr>
              <w:t>Total</w:t>
            </w:r>
          </w:p>
        </w:tc>
      </w:tr>
      <w:tr>
        <w:tc>
          <w:tcPr>
            <w:tcW w:type="dxa" w:w="2268"/>
          </w:tcPr>
          <w:p>
            <w:r>
              <w:t>Manzanas</w:t>
            </w:r>
          </w:p>
        </w:tc>
        <w:tc>
          <w:tcPr>
            <w:tcW w:type="dxa" w:w="2268"/>
          </w:tcPr>
          <w:p>
            <w:pPr>
              <w:jc w:val="right"/>
            </w:pPr>
            <w:r>
              <w:t>120</w:t>
            </w:r>
          </w:p>
        </w:tc>
        <w:tc>
          <w:tcPr>
            <w:tcW w:type="dxa" w:w="2268"/>
          </w:tcPr>
          <w:p>
            <w:pPr>
              <w:jc w:val="right"/>
            </w:pPr>
            <w:r>
              <w:t>1,50</w:t>
            </w:r>
          </w:p>
        </w:tc>
        <w:tc>
          <w:tcPr>
            <w:tcW w:type="dxa" w:w="2268"/>
          </w:tcPr>
          <w:p>
            <w:pPr>
              <w:jc w:val="right"/>
            </w:pPr>
            <w:r>
              <w:t>180,00</w:t>
            </w:r>
          </w:p>
        </w:tc>
      </w:tr>
      <w:tr>
        <w:tc>
          <w:tcPr>
            <w:tcW w:type="dxa" w:w="2268"/>
          </w:tcPr>
          <w:p>
            <w:r>
              <w:t>Peras</w:t>
            </w:r>
          </w:p>
        </w:tc>
        <w:tc>
          <w:tcPr>
            <w:tcW w:type="dxa" w:w="2268"/>
          </w:tcPr>
          <w:p>
            <w:pPr>
              <w:jc w:val="right"/>
            </w:pPr>
            <w:r>
              <w:t>80</w:t>
            </w:r>
          </w:p>
        </w:tc>
        <w:tc>
          <w:tcPr>
            <w:tcW w:type="dxa" w:w="2268"/>
          </w:tcPr>
          <w:p>
            <w:pPr>
              <w:jc w:val="right"/>
            </w:pPr>
            <w:r>
              <w:t>2,25</w:t>
            </w:r>
          </w:p>
        </w:tc>
        <w:tc>
          <w:tcPr>
            <w:tcW w:type="dxa" w:w="2268"/>
          </w:tcPr>
          <w:p>
            <w:pPr>
              <w:jc w:val="right"/>
            </w:pPr>
            <w:r>
              <w:t>180,00</w:t>
            </w:r>
          </w:p>
        </w:tc>
      </w:tr>
      <w:tr>
        <w:tc>
          <w:tcPr>
            <w:tcW w:type="dxa" w:w="4536"/>
            <w:gridSpan w:val="2"/>
          </w:tcPr>
          <w:p>
            <w:r>
              <w:t>Uvas</w:t>
            </w:r>
          </w:p>
          <w:p>
            <w:pPr>
              <w:jc w:val="right"/>
            </w:pPr>
            <w:r>
              <w:t>45</w:t>
            </w:r>
          </w:p>
        </w:tc>
        <w:tc>
          <w:tcPr>
            <w:tcW w:type="dxa" w:w="2268"/>
          </w:tcPr>
          <w:p>
            <w:pPr>
              <w:jc w:val="right"/>
            </w:pPr>
            <w:r>
              <w:t>3,10</w:t>
            </w:r>
          </w:p>
        </w:tc>
        <w:tc>
          <w:tcPr>
            <w:tcW w:type="dxa" w:w="2268"/>
          </w:tcPr>
          <w:p>
            <w:pPr>
              <w:jc w:val="right"/>
            </w:pPr>
            <w:r>
              <w:t>139,50</w:t>
            </w:r>
          </w:p>
        </w:tc>
      </w:tr>
    </w:tbl>
    <w:p/>
    <w:p>
      <w:pPr>
        <w:pStyle w:val="Heading1"/>
      </w:pPr>
      <w:r>
        <w:t>4. Imagen</w:t>
      </w:r>
    </w:p>
    <w:p>
      <w:pPr>
        <w:jc w:val="center"/>
      </w:pPr>
      <w:r>
        <w:drawing>
          <wp:inline xmlns:a="http://schemas.openxmlformats.org/drawingml/2006/main" xmlns:pic="http://schemas.openxmlformats.org/drawingml/2006/picture">
            <wp:extent cx="2880000" cy="16200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80000" cy="1620000"/>
                    </a:xfrm>
                    <a:prstGeom prst="rect"/>
                  </pic:spPr>
                </pic:pic>
              </a:graphicData>
            </a:graphic>
          </wp:inline>
        </w:drawing>
      </w:r>
    </w:p>
    <w:p>
      <w:pPr>
        <w:pStyle w:val="Heading1"/>
      </w:pPr>
      <w:r>
        <w:t>5. Índice con tabulador</w:t>
      </w:r>
    </w:p>
    <w:p>
      <w:pPr>
        <w:tabs>
          <w:tab w:pos="9071" w:val="right" w:leader="dot"/>
        </w:tabs>
      </w:pPr>
      <w:r>
        <w:t>Introducción</w:t>
        <w:tab/>
        <w:t>1</w:t>
      </w:r>
    </w:p>
    <w:p>
      <w:pPr>
        <w:tabs>
          <w:tab w:pos="9071" w:val="right" w:leader="dot"/>
        </w:tabs>
      </w:pPr>
      <w:r>
        <w:t>Listas</w:t>
        <w:tab/>
        <w:t>2</w:t>
      </w:r>
    </w:p>
    <w:p>
      <w:pPr>
        <w:tabs>
          <w:tab w:pos="9071" w:val="right" w:leader="dot"/>
        </w:tabs>
      </w:pPr>
      <w:r>
        <w:t>Resultados</w:t>
        <w:tab/>
        <w:t>3</w:t>
      </w:r>
    </w:p>
    <w:p>
      <w:r>
        <w:br w:type="page"/>
      </w:r>
    </w:p>
    <w:p>
      <w:pPr>
        <w:pStyle w:val="Heading1"/>
      </w:pPr>
      <w:r>
        <w:t>6. Segunda página</w:t>
      </w:r>
    </w:p>
    <w:p>
      <w:r>
        <w:t>Esta página va después de un salto de página explícito.</w:t>
      </w:r>
    </w:p>
    <w:p>
      <w:pPr>
        <w:sectPr>
          <w:headerReference w:type="default" r:id="rId9"/>
          <w:footerReference w:type="default" r:id="rId10"/>
          <w:pgSz w:w="11906" w:h="16838"/>
          <w:pgMar w:top="1417" w:right="1417" w:bottom="1417" w:left="1417" w:header="720" w:footer="720" w:gutter="0"/>
          <w:cols w:space="720"/>
          <w:docGrid w:linePitch="360"/>
        </w:sectPr>
      </w:pPr>
    </w:p>
    <w:p>
      <w:pPr>
        <w:pStyle w:val="Heading1"/>
      </w:pPr>
      <w:r>
        <w:t>7. Sección apaisada</w:t>
      </w:r>
    </w:p>
    <w:p>
      <w:r>
        <w:t>Esta sección usa una página horizontal.</w:t>
      </w:r>
    </w:p>
    <w:sectPr w:rsidR="00FC693F" w:rsidRPr="0006063C" w:rsidSect="00034616">
      <w:pgSz w:w="16838" w:h="11906"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r>
    <w:r>
      <w:instrText xml:space="preserve"> PAGE </w:instrText>
    </w:r>
    <w:r>
      <w:fldChar w:fldCharType="separate"/>
    </w:r>
    <w:r>
      <w:t>1</w:t>
    </w:r>
    <w:r>
      <w:fldChar w:fldCharType="end"/>
    </w:r>
    <w:r>
      <w:t xml:space="preserve"> de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Informe confidencial — Departamento de Ventas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ample.com"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