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</w:pPr>
      <w:r>
        <w:t>Arrange the call</w:t>
      </w:r>
    </w:p>
    <w:p>
      <w:pPr>
        <w:keepNext w:val="0"/>
      </w:pPr>
      <w:r>
        <w:rPr>
          <w:sz w:val="19"/>
        </w:rPr>
        <w:t>Lived Experience Coordinator · Use the offer form; do not copy its details again.</w:t>
      </w:r>
    </w:p>
    <w:p>
      <w:pPr>
        <w:keepNext w:val="0"/>
      </w:pPr>
      <w:r>
        <w:rPr>
          <w:sz w:val="19"/>
        </w:rPr>
        <w:t>Area: [optional]   |   Team: [optional]</w:t>
      </w:r>
    </w:p>
    <w:p>
      <w:pPr>
        <w:keepNext w:val="0"/>
      </w:pPr>
      <w:r/>
      <w:r>
        <w:rPr>
          <w:b/>
        </w:rPr>
        <w:t xml:space="preserve">Record reference  </w:t>
      </w:r>
      <w:sdt>
        <w:sdtPr>
          <w:alias w:val="Record reference"/>
          <w:tag w:val="handover_1001"/>
          <w:id w:val="1001"/>
          <w:text w:multiLine="1"/>
        </w:sdtPr>
        <w:sdtContent>
          <w:r>
            <w:rPr>
              <w:rFonts w:ascii="Arial" w:hAnsi="Arial"/>
              <w:sz w:val="22"/>
              <w:color w:val="47545B"/>
              <w:shd w:fill="F2F5F6" w:val="clear"/>
            </w:rPr>
            <w:t xml:space="preserve">Reference</w:t>
          </w:r>
        </w:sdtContent>
      </w:sdt>
    </w:p>
    <w:p>
      <w:pPr>
        <w:keepNext w:val="0"/>
      </w:pPr>
      <w:r/>
      <w:r>
        <w:rPr>
          <w:b/>
        </w:rPr>
        <w:t xml:space="preserve">Coordinator and date  </w:t>
      </w:r>
      <w:sdt>
        <w:sdtPr>
          <w:alias w:val="Coordinator and date"/>
          <w:tag w:val="handover_1002"/>
          <w:id w:val="1002"/>
          <w:text w:multiLine="1"/>
        </w:sdtPr>
        <w:sdtContent>
          <w:r>
            <w:rPr>
              <w:rFonts w:ascii="Arial" w:hAnsi="Arial"/>
              <w:sz w:val="22"/>
              <w:color w:val="47545B"/>
              <w:shd w:fill="F2F5F6" w:val="clear"/>
            </w:rPr>
            <w:t xml:space="preserve">Name · date</w:t>
          </w:r>
        </w:sdtContent>
      </w:sdt>
    </w:p>
    <w:p>
      <w:pPr>
        <w:pStyle w:val="Heading2"/>
        <w:keepNext/>
      </w:pPr>
      <w:r>
        <w:t>1 Agree the caller</w:t>
      </w:r>
    </w:p>
    <w:p>
      <w:pPr>
        <w:keepNext w:val="0"/>
      </w:pPr>
      <w:r/>
      <w:r>
        <w:rPr>
          <w:b/>
        </w:rPr>
        <w:t xml:space="preserve">Caller and agreed call time  </w:t>
      </w:r>
      <w:sdt>
        <w:sdtPr>
          <w:alias w:val="Caller and agreed call time"/>
          <w:tag w:val="handover_1003"/>
          <w:id w:val="1003"/>
          <w:text w:multiLine="1"/>
        </w:sdtPr>
        <w:sdtContent>
          <w:r>
            <w:rPr>
              <w:rFonts w:ascii="Arial" w:hAnsi="Arial"/>
              <w:sz w:val="22"/>
              <w:color w:val="47545B"/>
              <w:shd w:fill="F2F5F6" w:val="clear"/>
            </w:rPr>
            <w:t xml:space="preserve">Name · date or time window</w:t>
          </w:r>
        </w:sdtContent>
      </w:sdt>
    </w:p>
    <w:p>
      <w:pPr>
        <w:keepNext w:val="0"/>
      </w:pPr>
      <w:r/>
      <w:r>
        <w:rPr>
          <w:b/>
        </w:rPr>
        <w:t xml:space="preserve">Cover if needed  </w:t>
      </w:r>
      <w:sdt>
        <w:sdtPr>
          <w:alias w:val="Cover if needed"/>
          <w:tag w:val="handover_1004"/>
          <w:id w:val="1004"/>
          <w:text w:multiLine="1"/>
        </w:sdtPr>
        <w:sdtContent>
          <w:r>
            <w:rPr>
              <w:rFonts w:ascii="Arial" w:hAnsi="Arial"/>
              <w:sz w:val="22"/>
              <w:color w:val="47545B"/>
              <w:shd w:fill="F2F5F6" w:val="clear"/>
            </w:rPr>
            <w:t xml:space="preserve">Name and contact route</w:t>
          </w:r>
        </w:sdtContent>
      </w:sdt>
    </w:p>
    <w:p>
      <w:pPr>
        <w:keepNext w:val="0"/>
      </w:pPr>
      <w:r>
        <w:rPr>
          <w:sz w:val="19"/>
        </w:rPr>
        <w:t>Check the caller can open the offer form and use the agreed safe contact and communication arrangements.</w:t>
      </w:r>
    </w:p>
    <w:p>
      <w:pPr>
        <w:pStyle w:val="Heading2"/>
        <w:keepNext/>
      </w:pPr>
      <w:r>
        <w:t>2 Give the caller the help routes</w:t>
      </w:r>
    </w:p>
    <w:p>
      <w:pPr>
        <w:keepNext w:val="0"/>
      </w:pPr>
      <w:r/>
      <w:r>
        <w:rPr>
          <w:b/>
        </w:rPr>
        <w:t xml:space="preserve">Clinical or safeguarding help  </w:t>
      </w:r>
      <w:sdt>
        <w:sdtPr>
          <w:alias w:val="Clinical or safeguarding help"/>
          <w:tag w:val="handover_1005"/>
          <w:id w:val="1005"/>
          <w:text w:multiLine="1"/>
        </w:sdtPr>
        <w:sdtContent>
          <w:r>
            <w:rPr>
              <w:rFonts w:ascii="Arial" w:hAnsi="Arial"/>
              <w:sz w:val="22"/>
              <w:color w:val="47545B"/>
              <w:shd w:fill="F2F5F6" w:val="clear"/>
            </w:rPr>
            <w:t xml:space="preserve">Team and contact route</w:t>
          </w:r>
        </w:sdtContent>
      </w:sdt>
    </w:p>
    <w:p>
      <w:pPr>
        <w:keepNext w:val="0"/>
      </w:pPr>
      <w:r/>
      <w:r>
        <w:rPr>
          <w:b/>
        </w:rPr>
        <w:t xml:space="preserve">Backup if no response  </w:t>
      </w:r>
      <w:sdt>
        <w:sdtPr>
          <w:alias w:val="Backup if no response"/>
          <w:tag w:val="handover_1006"/>
          <w:id w:val="1006"/>
          <w:text w:multiLine="1"/>
        </w:sdtPr>
        <w:sdtContent>
          <w:r>
            <w:rPr>
              <w:rFonts w:ascii="Arial" w:hAnsi="Arial"/>
              <w:sz w:val="22"/>
              <w:color w:val="47545B"/>
              <w:shd w:fill="F2F5F6" w:val="clear"/>
            </w:rPr>
            <w:t xml:space="preserve">Team and contact route</w:t>
          </w:r>
        </w:sdtContent>
      </w:sdt>
    </w:p>
    <w:p>
      <w:pPr>
        <w:keepNext/>
      </w:pPr>
      <w:r>
        <w:rPr>
          <w:b/>
        </w:rPr>
        <w:t>Identity check and no answer plan</w:t>
      </w:r>
    </w:p>
    <w:p>
      <w:pPr>
        <w:keepNext w:val="0"/>
        <w:keepLines/>
        <w:spacing w:after="100"/>
        <w:shd w:fill="F2F5F6" w:val="clear"/>
      </w:pPr>
      <w:r/>
      <w:sdt>
        <w:sdtPr>
          <w:alias w:val="Identity check and no answer plan"/>
          <w:tag w:val="handover_1007"/>
          <w:id w:val="1007"/>
          <w:text w:multiLine="1"/>
        </w:sdtPr>
        <w:sdtContent>
          <w:r>
            <w:rPr>
              <w:rFonts w:ascii="Arial" w:hAnsi="Arial"/>
              <w:sz w:val="22"/>
              <w:color w:val="47545B"/>
              <w:shd w:fill="F2F5F6" w:val="clear"/>
            </w:rPr>
            <w:t xml:space="preserve">Local instructions or where to find them</w:t>
            <w:br/>
            <w:t> </w:t>
          </w:r>
        </w:sdtContent>
      </w:sdt>
    </w:p>
    <w:p>
      <w:pPr>
        <w:keepNext w:val="0"/>
      </w:pPr>
      <w:r>
        <w:rPr>
          <w:sz w:val="19"/>
        </w:rPr>
        <w:t>Use the voicemail choice in the offer form. No answer does not confirm safety.</w:t>
      </w:r>
    </w:p>
    <w:p>
      <w:pPr>
        <w:keepNext w:val="0"/>
      </w:pPr>
      <w:r/>
      <w:r>
        <w:rPr>
          <w:b/>
        </w:rPr>
        <w:t xml:space="preserve">Where to save the call form  </w:t>
      </w:r>
      <w:sdt>
        <w:sdtPr>
          <w:alias w:val="Where to save the call form"/>
          <w:tag w:val="handover_1008"/>
          <w:id w:val="1008"/>
          <w:text w:multiLine="1"/>
        </w:sdtPr>
        <w:sdtContent>
          <w:r>
            <w:rPr>
              <w:rFonts w:ascii="Arial" w:hAnsi="Arial"/>
              <w:sz w:val="22"/>
              <w:color w:val="47545B"/>
              <w:shd w:fill="F2F5F6" w:val="clear"/>
            </w:rPr>
            <w:t xml:space="preserve">SystmOne record; for a carer, their agreed record</w:t>
          </w:r>
        </w:sdtContent>
      </w:sdt>
    </w:p>
    <w:p>
      <w:pPr>
        <w:keepNext w:val="0"/>
      </w:pPr>
      <w:r/>
      <w:r>
        <w:rPr>
          <w:b/>
        </w:rPr>
        <w:t xml:space="preserve">Who reviews agreed project feedback?  </w:t>
      </w:r>
      <w:sdt>
        <w:sdtPr>
          <w:alias w:val="Who reviews agreed project feedback?"/>
          <w:tag w:val="handover_1009"/>
          <w:id w:val="1009"/>
          <w:text w:multiLine="1"/>
        </w:sdtPr>
        <w:sdtContent>
          <w:r>
            <w:rPr>
              <w:rFonts w:ascii="Arial" w:hAnsi="Arial"/>
              <w:sz w:val="22"/>
              <w:color w:val="47545B"/>
              <w:shd w:fill="F2F5F6" w:val="clear"/>
            </w:rPr>
            <w:t xml:space="preserve">Authorised reviewer and secure access to the record</w:t>
          </w:r>
        </w:sdtContent>
      </w:sdt>
    </w:p>
    <w:p>
      <w:pPr>
        <w:keepNext w:val="0"/>
      </w:pPr>
      <w:r>
        <w:rPr>
          <w:sz w:val="19"/>
        </w:rPr>
        <w:t>Feedback is inside the call form. Arrange review of that record; the caller does not complete another feedback form.</w:t>
      </w:r>
    </w:p>
    <w:p>
      <w:pPr>
        <w:pStyle w:val="Heading2"/>
        <w:keepNext/>
      </w:pPr>
      <w:r>
        <w:t>3 Confirm the handover</w:t>
      </w:r>
    </w:p>
    <w:p>
      <w:pPr>
        <w:keepNext w:val="0"/>
        <w:spacing w:after="60"/>
      </w:pPr>
      <w:r/>
      <w:sdt>
        <w:sdtPr>
          <w:alias w:val="Caller has accepted, can access the record and knows the contact and help plans."/>
          <w:tag w:val="handover_1010"/>
          <w:id w:val="1010"/>
          <w14:checkbox>
            <w14:checked w14:val="0"/>
            <w14:checkedState w14:val="2612" w14:font="Segoe UI Symbol"/>
            <w14:uncheckedState w14:val="2610" w14:font="Segoe UI Symbol"/>
          </w14:checkbox>
        </w:sdtPr>
        <w:sdtContent>
          <w:r>
            <w:rPr>
              <w:rFonts w:ascii="Arial" w:hAnsi="Arial"/>
              <w:sz w:val="22"/>
            </w:rPr>
            <w:t xml:space="preserve">☐</w:t>
          </w:r>
        </w:sdtContent>
      </w:sdt>
      <w:r>
        <w:t xml:space="preserve"> Caller has accepted, can access the record and knows the contact and help plans.</w:t>
      </w:r>
    </w:p>
    <w:p>
      <w:pPr>
        <w:keepNext/>
      </w:pPr>
      <w:r>
        <w:rPr>
          <w:b/>
        </w:rPr>
        <w:t>Anything still needed</w:t>
      </w:r>
    </w:p>
    <w:p>
      <w:pPr>
        <w:keepNext w:val="0"/>
        <w:keepLines/>
        <w:spacing w:after="100"/>
        <w:shd w:fill="F2F5F6" w:val="clear"/>
      </w:pPr>
      <w:r/>
      <w:sdt>
        <w:sdtPr>
          <w:alias w:val="Anything still needed"/>
          <w:tag w:val="handover_1011"/>
          <w:id w:val="1011"/>
          <w:text w:multiLine="1"/>
        </w:sdtPr>
        <w:sdtContent>
          <w:r>
            <w:rPr>
              <w:rFonts w:ascii="Arial" w:hAnsi="Arial"/>
              <w:sz w:val="22"/>
              <w:color w:val="47545B"/>
              <w:shd w:fill="F2F5F6" w:val="clear"/>
            </w:rPr>
            <w:t xml:space="preserve">Action, who will do it and when; or Nothing outstanding</w:t>
          </w:r>
        </w:sdtContent>
      </w:sdt>
    </w:p>
    <w:p>
      <w:pPr>
        <w:keepNext w:val="0"/>
      </w:pPr>
      <w:r>
        <w:rPr>
          <w:sz w:val="19"/>
        </w:rPr>
        <w:t>If checks are incomplete, resolve them before the call. Save this form in the agreed record.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502" w:right="1020" w:bottom="935" w:left="1020" w:header="369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</w:pPr>
    <w:r>
      <w:t xml:space="preserve">Staff forms · Version 12 · 25 October 2026   |   Page </w:t>
    </w:r>
    <w:fldSimple w:instr="PAGE">
      <w:r/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 w:line="240" w:lineRule="auto" w:before="0"/>
    </w:pPr>
    <w:r>
      <w:rPr>
        <w:sz w:val="2"/>
      </w:rPr>
    </w:r>
  </w:p>
  <w:tbl>
    <w:tblPr>
      <w:tblW w:type="auto" w:w="0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1616"/>
      <w:gridCol w:w="7115"/>
      <w:gridCol w:w="1134"/>
    </w:tblGrid>
    <w:tr>
      <w:tc>
        <w:tcPr>
          <w:tcW w:type="dxa" w:w="1616"/>
          <w:vAlign w:val="center"/>
          <w:tcMar>
            <w:top w:w="40" w:type="dxa"/>
            <w:bottom w:w="40" w:type="dxa"/>
            <w:left w:w="70" w:type="dxa"/>
            <w:right w:w="70" w:type="dxa"/>
          </w:tcMar>
          <w:shd w:fill="005EB8"/>
        </w:tcPr>
        <w:p>
          <w:pPr>
            <w:spacing w:after="0" w:line="240" w:lineRule="auto"/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827999" cy="403200"/>
                <wp:docPr id="1" name="Picture 1" descr="Central and North West London NHS Foundation Trust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CNWL_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27999" cy="4032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7115"/>
          <w:vAlign w:val="center"/>
          <w:tcMar>
            <w:top w:w="40" w:type="dxa"/>
            <w:bottom w:w="40" w:type="dxa"/>
            <w:left w:w="70" w:type="dxa"/>
            <w:right w:w="70" w:type="dxa"/>
          </w:tcMar>
        </w:tcPr>
        <w:p>
          <w:pPr>
            <w:spacing w:after="0" w:line="240" w:lineRule="auto"/>
          </w:pPr>
          <w:r>
            <w:rPr>
              <w:b/>
              <w:sz w:val="20"/>
            </w:rPr>
            <w:t>Lived Experience Discharge</w:t>
            <w:br/>
            <w:t>and Transition Project</w:t>
          </w:r>
          <w:r>
            <w:rPr>
              <w:sz w:val="17"/>
            </w:rPr>
            <w:br/>
            <w:t>CNWL Peer and Lived Experience Workforce</w:t>
          </w:r>
        </w:p>
      </w:tc>
      <w:tc>
        <w:tcPr>
          <w:tcW w:type="dxa" w:w="1134"/>
          <w:vAlign w:val="center"/>
          <w:tcMar>
            <w:top w:w="40" w:type="dxa"/>
            <w:bottom w:w="40" w:type="dxa"/>
            <w:left w:w="70" w:type="dxa"/>
            <w:right w:w="70" w:type="dxa"/>
          </w:tcMar>
        </w:tcPr>
        <w:p>
          <w:pPr>
            <w:spacing w:after="0" w:line="240" w:lineRule="auto"/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483290" cy="450000"/>
                <wp:docPr id="2" name="Picture 2" descr="CNWL Peer and Lived Experience Workforce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ived_Experience_Logo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83290" cy="450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80" w:line="250" w:lineRule="auto"/>
    </w:pPr>
    <w:rPr>
      <w:rFonts w:ascii="Arial" w:hAnsi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80" w:line="254" w:lineRule="auto" w:before="0"/>
    </w:pPr>
    <w:rPr>
      <w:rFonts w:ascii="Arial" w:hAnsi="Arial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80" w:line="254" w:lineRule="auto" w:before="0"/>
    </w:pPr>
    <w:rPr>
      <w:rFonts w:ascii="Arial" w:hAnsi="Arial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80" w:line="254" w:lineRule="auto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 w:line="254" w:lineRule="auto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0" w:after="80" w:line="254" w:lineRule="auto"/>
      <w:outlineLvl w:val="2"/>
    </w:pPr>
    <w:rPr>
      <w:rFonts w:asciiTheme="majorHAnsi" w:eastAsiaTheme="majorEastAsia" w:hAnsiTheme="majorHAnsi" w:cstheme="majorBidi" w:ascii="Arial" w:hAnsi="Arial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80" w:line="254" w:lineRule="auto" w:before="0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80" w:line="254" w:lineRule="auto"/>
    </w:pPr>
    <w:rPr>
      <w:rFonts w:asciiTheme="majorHAnsi" w:eastAsiaTheme="majorEastAsia" w:hAnsiTheme="majorHAnsi" w:cstheme="majorBidi" w:ascii="Arial" w:hAnsi="Arial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Arrange the call</dc:title>
  <dc:subject>Discharge and Transition Project staff forms</dc:subject>
  <dc:creator>CNWL Peer and Lived Experience Workforce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