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F9FB1" w14:textId="74383DD3" w:rsidR="002B7742" w:rsidRPr="004F14CE" w:rsidRDefault="002B7742" w:rsidP="002B7742">
      <w:pPr>
        <w:rPr>
          <w:b/>
          <w:bCs/>
        </w:rPr>
      </w:pPr>
      <w:r w:rsidRPr="004F14CE">
        <w:rPr>
          <w:b/>
          <w:bCs/>
        </w:rPr>
        <w:t>Lab 03 – Code Coverage (</w:t>
      </w:r>
      <w:proofErr w:type="spellStart"/>
      <w:r w:rsidRPr="004F14CE">
        <w:rPr>
          <w:b/>
          <w:bCs/>
        </w:rPr>
        <w:t>JaCoCo</w:t>
      </w:r>
      <w:proofErr w:type="spellEnd"/>
      <w:r w:rsidRPr="004F14CE">
        <w:rPr>
          <w:b/>
          <w:bCs/>
        </w:rPr>
        <w:t>) - Group 11</w:t>
      </w:r>
      <w:r w:rsidRPr="004F14CE">
        <w:rPr>
          <w:b/>
          <w:bCs/>
        </w:rPr>
        <w:t xml:space="preserve"> - README</w:t>
      </w:r>
    </w:p>
    <w:p w14:paraId="466E3D84" w14:textId="77777777" w:rsidR="002B7742" w:rsidRPr="004F14CE" w:rsidRDefault="002B7742" w:rsidP="002B7742">
      <w:pPr>
        <w:rPr>
          <w:b/>
          <w:bCs/>
        </w:rPr>
      </w:pPr>
    </w:p>
    <w:p w14:paraId="0E3AC03B" w14:textId="080F9B3B" w:rsidR="002B7742" w:rsidRDefault="002B7742" w:rsidP="002B7742">
      <w:r w:rsidRPr="004F14CE">
        <w:rPr>
          <w:b/>
          <w:bCs/>
        </w:rPr>
        <w:t>Objective</w:t>
      </w:r>
      <w:r>
        <w:t xml:space="preserve">: The goal of this lab was to analyze and improve test coverage for the Date class using JUnit and </w:t>
      </w:r>
      <w:proofErr w:type="spellStart"/>
      <w:r>
        <w:t>JaCoCo</w:t>
      </w:r>
      <w:proofErr w:type="spellEnd"/>
      <w:r>
        <w:t>.</w:t>
      </w:r>
    </w:p>
    <w:p w14:paraId="7EED51A6" w14:textId="77777777" w:rsidR="002B7742" w:rsidRDefault="002B7742" w:rsidP="002B7742"/>
    <w:p w14:paraId="1C474F7E" w14:textId="133C1032" w:rsidR="002B7742" w:rsidRPr="002D4502" w:rsidRDefault="002B7742" w:rsidP="002B7742">
      <w:pPr>
        <w:rPr>
          <w:lang w:val="fr-CA"/>
        </w:rPr>
      </w:pPr>
      <w:r w:rsidRPr="002D4502">
        <w:rPr>
          <w:b/>
          <w:bCs/>
          <w:lang w:val="fr-CA"/>
        </w:rPr>
        <w:t xml:space="preserve">Initial </w:t>
      </w:r>
      <w:proofErr w:type="spellStart"/>
      <w:r w:rsidRPr="002D4502">
        <w:rPr>
          <w:b/>
          <w:bCs/>
          <w:lang w:val="fr-CA"/>
        </w:rPr>
        <w:t>Coverage</w:t>
      </w:r>
      <w:proofErr w:type="spellEnd"/>
      <w:r w:rsidRPr="002D4502">
        <w:rPr>
          <w:lang w:val="fr-CA"/>
        </w:rPr>
        <w:t xml:space="preserve">: </w:t>
      </w:r>
      <w:r w:rsidR="004F14CE" w:rsidRPr="002D4502">
        <w:rPr>
          <w:lang w:val="fr-CA"/>
        </w:rPr>
        <w:t>Avant l’ajout de tests</w:t>
      </w:r>
      <w:r w:rsidRPr="002D4502">
        <w:rPr>
          <w:lang w:val="fr-CA"/>
        </w:rPr>
        <w:t xml:space="preserve">, </w:t>
      </w:r>
      <w:r w:rsidR="002D4502" w:rsidRPr="002D4502">
        <w:rPr>
          <w:lang w:val="fr-CA"/>
        </w:rPr>
        <w:t xml:space="preserve">voici le </w:t>
      </w:r>
      <w:proofErr w:type="spellStart"/>
      <w:r w:rsidR="002D4502" w:rsidRPr="002D4502">
        <w:rPr>
          <w:lang w:val="fr-CA"/>
        </w:rPr>
        <w:t>covera</w:t>
      </w:r>
      <w:r w:rsidR="002D4502">
        <w:rPr>
          <w:lang w:val="fr-CA"/>
        </w:rPr>
        <w:t>ge</w:t>
      </w:r>
      <w:proofErr w:type="spellEnd"/>
      <w:r w:rsidR="002D4502">
        <w:rPr>
          <w:lang w:val="fr-CA"/>
        </w:rPr>
        <w:t xml:space="preserve"> mesure avec</w:t>
      </w:r>
      <w:r w:rsidRPr="002D4502">
        <w:rPr>
          <w:lang w:val="fr-CA"/>
        </w:rPr>
        <w:t xml:space="preserve"> </w:t>
      </w:r>
      <w:proofErr w:type="spellStart"/>
      <w:r w:rsidRPr="002D4502">
        <w:rPr>
          <w:lang w:val="fr-CA"/>
        </w:rPr>
        <w:t>JaCoCo</w:t>
      </w:r>
      <w:proofErr w:type="spellEnd"/>
      <w:r w:rsidRPr="002D4502">
        <w:rPr>
          <w:lang w:val="fr-CA"/>
        </w:rPr>
        <w:t>.</w:t>
      </w:r>
    </w:p>
    <w:p w14:paraId="45D32A9E" w14:textId="482A5D3A" w:rsidR="0025571D" w:rsidRDefault="0025571D">
      <w:r w:rsidRPr="0025571D">
        <w:drawing>
          <wp:inline distT="0" distB="0" distL="0" distR="0" wp14:anchorId="0AB51C5E" wp14:editId="610E062E">
            <wp:extent cx="2352692" cy="2905146"/>
            <wp:effectExtent l="0" t="0" r="9525" b="9525"/>
            <wp:docPr id="208533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36747" name=""/>
                    <pic:cNvPicPr/>
                  </pic:nvPicPr>
                  <pic:blipFill>
                    <a:blip r:embed="rId5"/>
                    <a:stretch>
                      <a:fillRect/>
                    </a:stretch>
                  </pic:blipFill>
                  <pic:spPr>
                    <a:xfrm>
                      <a:off x="0" y="0"/>
                      <a:ext cx="2352692" cy="2905146"/>
                    </a:xfrm>
                    <a:prstGeom prst="rect">
                      <a:avLst/>
                    </a:prstGeom>
                  </pic:spPr>
                </pic:pic>
              </a:graphicData>
            </a:graphic>
          </wp:inline>
        </w:drawing>
      </w:r>
    </w:p>
    <w:p w14:paraId="6D4AF155" w14:textId="53721CBA" w:rsidR="0025571D" w:rsidRDefault="0025571D">
      <w:r w:rsidRPr="0025571D">
        <w:drawing>
          <wp:inline distT="0" distB="0" distL="0" distR="0" wp14:anchorId="5BC4DF6A" wp14:editId="6186964F">
            <wp:extent cx="5943600" cy="977900"/>
            <wp:effectExtent l="0" t="0" r="0" b="0"/>
            <wp:docPr id="45121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19281" name=""/>
                    <pic:cNvPicPr/>
                  </pic:nvPicPr>
                  <pic:blipFill>
                    <a:blip r:embed="rId6"/>
                    <a:stretch>
                      <a:fillRect/>
                    </a:stretch>
                  </pic:blipFill>
                  <pic:spPr>
                    <a:xfrm>
                      <a:off x="0" y="0"/>
                      <a:ext cx="5943600" cy="977900"/>
                    </a:xfrm>
                    <a:prstGeom prst="rect">
                      <a:avLst/>
                    </a:prstGeom>
                  </pic:spPr>
                </pic:pic>
              </a:graphicData>
            </a:graphic>
          </wp:inline>
        </w:drawing>
      </w:r>
    </w:p>
    <w:p w14:paraId="06163EE4" w14:textId="45AE1C3B" w:rsidR="002B7742" w:rsidRPr="002B7742" w:rsidRDefault="002B7742">
      <w:pPr>
        <w:rPr>
          <w:lang w:val="fr-CA"/>
        </w:rPr>
      </w:pPr>
      <w:r w:rsidRPr="002D4502">
        <w:rPr>
          <w:b/>
          <w:bCs/>
          <w:lang w:val="fr-CA"/>
        </w:rPr>
        <w:t>Apres modifications</w:t>
      </w:r>
      <w:r w:rsidRPr="002B7742">
        <w:rPr>
          <w:lang w:val="fr-CA"/>
        </w:rPr>
        <w:t xml:space="preserve">: modifications apporter afin d’améliorer la couverture de code de la classe Date. De nouveaux tests ont été ajoutés pour couvrir davantage de cas limites. Ceux-ci incluent les conditions aux bornes des mois, la gestion des années bissextiles ainsi que des scénarios d’entrées invalides. Ces modifications ont permis d’exécuter des chemins supplémentaires dans les méthodes principales, en particulier dans </w:t>
      </w:r>
      <w:proofErr w:type="spellStart"/>
      <w:r w:rsidRPr="002B7742">
        <w:rPr>
          <w:lang w:val="fr-CA"/>
        </w:rPr>
        <w:t>setDay</w:t>
      </w:r>
      <w:proofErr w:type="spellEnd"/>
      <w:r w:rsidRPr="002B7742">
        <w:rPr>
          <w:lang w:val="fr-CA"/>
        </w:rPr>
        <w:t xml:space="preserve">, </w:t>
      </w:r>
      <w:proofErr w:type="spellStart"/>
      <w:r w:rsidRPr="002B7742">
        <w:rPr>
          <w:lang w:val="fr-CA"/>
        </w:rPr>
        <w:t>isEndOfMonth</w:t>
      </w:r>
      <w:proofErr w:type="spellEnd"/>
      <w:r w:rsidRPr="002B7742">
        <w:rPr>
          <w:lang w:val="fr-CA"/>
        </w:rPr>
        <w:t xml:space="preserve"> et </w:t>
      </w:r>
      <w:proofErr w:type="spellStart"/>
      <w:r w:rsidRPr="002B7742">
        <w:rPr>
          <w:lang w:val="fr-CA"/>
        </w:rPr>
        <w:t>equals</w:t>
      </w:r>
      <w:proofErr w:type="spellEnd"/>
      <w:r w:rsidRPr="002B7742">
        <w:rPr>
          <w:lang w:val="fr-CA"/>
        </w:rPr>
        <w:t xml:space="preserve">, contribuant ainsi à une amélioration significative de la couverture globale mesurée par </w:t>
      </w:r>
      <w:proofErr w:type="spellStart"/>
      <w:r w:rsidRPr="002B7742">
        <w:rPr>
          <w:lang w:val="fr-CA"/>
        </w:rPr>
        <w:t>JaCoCo</w:t>
      </w:r>
      <w:proofErr w:type="spellEnd"/>
      <w:r w:rsidRPr="002B7742">
        <w:rPr>
          <w:lang w:val="fr-CA"/>
        </w:rPr>
        <w:t xml:space="preserve">. </w:t>
      </w:r>
      <w:r w:rsidRPr="002B7742">
        <w:rPr>
          <w:lang w:val="fr-CA"/>
        </w:rPr>
        <w:t>Toutes les modifications</w:t>
      </w:r>
      <w:r w:rsidRPr="002B7742">
        <w:rPr>
          <w:lang w:val="fr-CA"/>
        </w:rPr>
        <w:t xml:space="preserve"> peuvent </w:t>
      </w:r>
      <w:r w:rsidRPr="002B7742">
        <w:rPr>
          <w:lang w:val="fr-CA"/>
        </w:rPr>
        <w:t>être</w:t>
      </w:r>
      <w:r w:rsidRPr="002B7742">
        <w:rPr>
          <w:lang w:val="fr-CA"/>
        </w:rPr>
        <w:t xml:space="preserve"> vue dans le code sous Datetest.java</w:t>
      </w:r>
    </w:p>
    <w:p w14:paraId="1E02BA28" w14:textId="1C26BE42" w:rsidR="004951FD" w:rsidRDefault="00CC3A34" w:rsidP="004951FD">
      <w:r w:rsidRPr="00CC3A34">
        <w:lastRenderedPageBreak/>
        <w:drawing>
          <wp:inline distT="0" distB="0" distL="0" distR="0" wp14:anchorId="155DA493" wp14:editId="447F5087">
            <wp:extent cx="1400185" cy="3657627"/>
            <wp:effectExtent l="0" t="0" r="9525" b="0"/>
            <wp:docPr id="83865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52623" name=""/>
                    <pic:cNvPicPr/>
                  </pic:nvPicPr>
                  <pic:blipFill>
                    <a:blip r:embed="rId7"/>
                    <a:stretch>
                      <a:fillRect/>
                    </a:stretch>
                  </pic:blipFill>
                  <pic:spPr>
                    <a:xfrm>
                      <a:off x="0" y="0"/>
                      <a:ext cx="1400185" cy="3657627"/>
                    </a:xfrm>
                    <a:prstGeom prst="rect">
                      <a:avLst/>
                    </a:prstGeom>
                  </pic:spPr>
                </pic:pic>
              </a:graphicData>
            </a:graphic>
          </wp:inline>
        </w:drawing>
      </w:r>
    </w:p>
    <w:p w14:paraId="53F1B221" w14:textId="780CDA5D" w:rsidR="00CC3A34" w:rsidRDefault="00CC3A34" w:rsidP="004951FD">
      <w:r w:rsidRPr="00CC3A34">
        <w:drawing>
          <wp:inline distT="0" distB="0" distL="0" distR="0" wp14:anchorId="2022212A" wp14:editId="585F1A01">
            <wp:extent cx="4657759" cy="781056"/>
            <wp:effectExtent l="0" t="0" r="0" b="0"/>
            <wp:docPr id="45799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91461" name=""/>
                    <pic:cNvPicPr/>
                  </pic:nvPicPr>
                  <pic:blipFill>
                    <a:blip r:embed="rId8"/>
                    <a:stretch>
                      <a:fillRect/>
                    </a:stretch>
                  </pic:blipFill>
                  <pic:spPr>
                    <a:xfrm>
                      <a:off x="0" y="0"/>
                      <a:ext cx="4657759" cy="781056"/>
                    </a:xfrm>
                    <a:prstGeom prst="rect">
                      <a:avLst/>
                    </a:prstGeom>
                  </pic:spPr>
                </pic:pic>
              </a:graphicData>
            </a:graphic>
          </wp:inline>
        </w:drawing>
      </w:r>
    </w:p>
    <w:p w14:paraId="72B2AFBB" w14:textId="3E54C0C7" w:rsidR="002B7742" w:rsidRPr="002D4502" w:rsidRDefault="002B7742" w:rsidP="002B7742">
      <w:pPr>
        <w:rPr>
          <w:b/>
          <w:bCs/>
          <w:lang w:val="fr-CA"/>
        </w:rPr>
      </w:pPr>
      <w:r w:rsidRPr="002D4502">
        <w:rPr>
          <w:b/>
          <w:bCs/>
          <w:lang w:val="fr-CA"/>
        </w:rPr>
        <w:t xml:space="preserve">Analyse: </w:t>
      </w:r>
    </w:p>
    <w:p w14:paraId="687C5841" w14:textId="26FF84C4" w:rsidR="00CC3A34" w:rsidRPr="004951FD" w:rsidRDefault="002B7742" w:rsidP="002B7742">
      <w:pPr>
        <w:rPr>
          <w:lang w:val="fr-CA"/>
        </w:rPr>
      </w:pPr>
      <w:r w:rsidRPr="002B7742">
        <w:rPr>
          <w:lang w:val="fr-CA"/>
        </w:rPr>
        <w:t xml:space="preserve">Après avoir étendu la suite de tests à 79 cas de test, la couverture des instructions a atteint 93 % et la couverture des branches 94 %. Des tests supplémentaires ont été ajoutés afin de cibler les conditions aux limites, la logique des années bissextiles et les entrées invalides. Cependant, une couverture complète des branches n’a pas pu être atteinte en raison de chemins conditionnels mutuellement exclusifs ou non atteignables dans des scénarios d’exécution valides. Par conséquent, une couverture de 100 % n’est pas réalisable </w:t>
      </w:r>
      <w:r>
        <w:rPr>
          <w:lang w:val="fr-CA"/>
        </w:rPr>
        <w:t xml:space="preserve">dans plusieurs cas, incluant </w:t>
      </w:r>
      <w:r w:rsidRPr="002B7742">
        <w:rPr>
          <w:lang w:val="fr-CA"/>
        </w:rPr>
        <w:t>cette implémentation.</w:t>
      </w:r>
    </w:p>
    <w:sectPr w:rsidR="00CC3A34" w:rsidRPr="004951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70F"/>
    <w:multiLevelType w:val="multilevel"/>
    <w:tmpl w:val="7908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D4299"/>
    <w:multiLevelType w:val="multilevel"/>
    <w:tmpl w:val="31FA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13EB0"/>
    <w:multiLevelType w:val="multilevel"/>
    <w:tmpl w:val="313C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91168"/>
    <w:multiLevelType w:val="multilevel"/>
    <w:tmpl w:val="0D88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96147"/>
    <w:multiLevelType w:val="multilevel"/>
    <w:tmpl w:val="44BC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6714D"/>
    <w:multiLevelType w:val="multilevel"/>
    <w:tmpl w:val="F470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7140ED"/>
    <w:multiLevelType w:val="multilevel"/>
    <w:tmpl w:val="F9FA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470730">
    <w:abstractNumId w:val="0"/>
  </w:num>
  <w:num w:numId="2" w16cid:durableId="1029187930">
    <w:abstractNumId w:val="5"/>
  </w:num>
  <w:num w:numId="3" w16cid:durableId="441072444">
    <w:abstractNumId w:val="2"/>
  </w:num>
  <w:num w:numId="4" w16cid:durableId="1150943756">
    <w:abstractNumId w:val="4"/>
  </w:num>
  <w:num w:numId="5" w16cid:durableId="560411296">
    <w:abstractNumId w:val="3"/>
  </w:num>
  <w:num w:numId="6" w16cid:durableId="855735791">
    <w:abstractNumId w:val="6"/>
  </w:num>
  <w:num w:numId="7" w16cid:durableId="196284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71D"/>
    <w:rsid w:val="000466C9"/>
    <w:rsid w:val="0025571D"/>
    <w:rsid w:val="002B7742"/>
    <w:rsid w:val="002D4502"/>
    <w:rsid w:val="004951FD"/>
    <w:rsid w:val="004F14CE"/>
    <w:rsid w:val="00CC3A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FF63C"/>
  <w15:chartTrackingRefBased/>
  <w15:docId w15:val="{A4BEA40F-CCC8-4275-B2DB-BAF7D00A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7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7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7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7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7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7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71D"/>
    <w:rPr>
      <w:rFonts w:eastAsiaTheme="majorEastAsia" w:cstheme="majorBidi"/>
      <w:color w:val="272727" w:themeColor="text1" w:themeTint="D8"/>
    </w:rPr>
  </w:style>
  <w:style w:type="paragraph" w:styleId="Title">
    <w:name w:val="Title"/>
    <w:basedOn w:val="Normal"/>
    <w:next w:val="Normal"/>
    <w:link w:val="TitleChar"/>
    <w:uiPriority w:val="10"/>
    <w:qFormat/>
    <w:rsid w:val="00255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71D"/>
    <w:pPr>
      <w:spacing w:before="160"/>
      <w:jc w:val="center"/>
    </w:pPr>
    <w:rPr>
      <w:i/>
      <w:iCs/>
      <w:color w:val="404040" w:themeColor="text1" w:themeTint="BF"/>
    </w:rPr>
  </w:style>
  <w:style w:type="character" w:customStyle="1" w:styleId="QuoteChar">
    <w:name w:val="Quote Char"/>
    <w:basedOn w:val="DefaultParagraphFont"/>
    <w:link w:val="Quote"/>
    <w:uiPriority w:val="29"/>
    <w:rsid w:val="0025571D"/>
    <w:rPr>
      <w:i/>
      <w:iCs/>
      <w:color w:val="404040" w:themeColor="text1" w:themeTint="BF"/>
    </w:rPr>
  </w:style>
  <w:style w:type="paragraph" w:styleId="ListParagraph">
    <w:name w:val="List Paragraph"/>
    <w:basedOn w:val="Normal"/>
    <w:uiPriority w:val="34"/>
    <w:qFormat/>
    <w:rsid w:val="0025571D"/>
    <w:pPr>
      <w:ind w:left="720"/>
      <w:contextualSpacing/>
    </w:pPr>
  </w:style>
  <w:style w:type="character" w:styleId="IntenseEmphasis">
    <w:name w:val="Intense Emphasis"/>
    <w:basedOn w:val="DefaultParagraphFont"/>
    <w:uiPriority w:val="21"/>
    <w:qFormat/>
    <w:rsid w:val="0025571D"/>
    <w:rPr>
      <w:i/>
      <w:iCs/>
      <w:color w:val="0F4761" w:themeColor="accent1" w:themeShade="BF"/>
    </w:rPr>
  </w:style>
  <w:style w:type="paragraph" w:styleId="IntenseQuote">
    <w:name w:val="Intense Quote"/>
    <w:basedOn w:val="Normal"/>
    <w:next w:val="Normal"/>
    <w:link w:val="IntenseQuoteChar"/>
    <w:uiPriority w:val="30"/>
    <w:qFormat/>
    <w:rsid w:val="00255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71D"/>
    <w:rPr>
      <w:i/>
      <w:iCs/>
      <w:color w:val="0F4761" w:themeColor="accent1" w:themeShade="BF"/>
    </w:rPr>
  </w:style>
  <w:style w:type="character" w:styleId="IntenseReference">
    <w:name w:val="Intense Reference"/>
    <w:basedOn w:val="DefaultParagraphFont"/>
    <w:uiPriority w:val="32"/>
    <w:qFormat/>
    <w:rsid w:val="002557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510</TotalTime>
  <Pages>2</Pages>
  <Words>221</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Océane P.</dc:creator>
  <cp:keywords/>
  <dc:description/>
  <cp:lastModifiedBy>Océane P.</cp:lastModifiedBy>
  <cp:revision>3</cp:revision>
  <dcterms:created xsi:type="dcterms:W3CDTF">2026-06-16T17:31:00Z</dcterms:created>
  <dcterms:modified xsi:type="dcterms:W3CDTF">2026-06-17T02:01:00Z</dcterms:modified>
</cp:coreProperties>
</file>