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3FF4687" w14:paraId="58CB50C1">
        <w:trPr>
          <w:trHeight w:val="46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03FF4687" w:rsidRDefault="5E3106BE" w14:paraId="60995969" w14:textId="3DE724A0">
            <w:pPr>
              <w:pStyle w:val="Sansinterligne"/>
              <w:spacing w:before="20" w:beforeAutospacing="off" w:after="2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3FF4687" w:rsidR="03FF4687">
              <w:rPr>
                <w:rFonts w:ascii="Roboto" w:hAnsi="Roboto" w:eastAsia="Roboto" w:cs="Roboto"/>
                <w:sz w:val="14"/>
                <w:szCs w:val="14"/>
              </w:rPr>
              <w:t>BOISSON GAZEUSE FLAMING HOT</w:t>
            </w:r>
          </w:p>
        </w:tc>
      </w:tr>
      <w:tr w:rsidR="5E3106BE" w:rsidTr="03FF4687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3FF4687" w:rsidRDefault="5E3106BE" w14:paraId="601246A9" w14:textId="7F04527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03FF4687" w:rsidR="03FF4687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03FF468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3FF4687" w:rsidR="03FF468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03FF4687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FA051C3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3867FAC" w:rsidR="53867FA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3867FAC" w:rsidR="53867FA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170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3FF4687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3FF4687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3A6559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3FF4687" w:rsidR="03FF468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3FF4687" w:rsidR="03FF468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1D518E7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FF4687" w:rsidR="03FF4687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03FF4687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21DAADC7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3FF4687" w:rsidR="03FF4687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782450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FF4687" w:rsidR="03FF468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03FF4687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2540E51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3FF4687" w:rsidR="03FF468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3FF4687" w:rsidR="03FF468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25B592A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1DE74ED" w:rsidR="41DE74E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03FF4687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3FF4687" w14:paraId="669DED28">
        <w:trPr>
          <w:trHeight w:val="159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03FF4687" w:rsidRDefault="5E3106BE" w14:paraId="1A035C3A" w14:textId="3D576BB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3FF4687" w:rsidR="03FF468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03FF4687" w:rsidR="03FF468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ACIDE CITRIQUE, BENZOATE SODIUM, CITRATE SODIUM, GOMME ARABIC, EDTA, JAUNE #5, JAUNE #6, ROUGE #40, CAFÉINE: 54mg/355ml</w:t>
            </w:r>
            <w:r w:rsidRPr="03FF4687" w:rsidR="03FF468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FF4687"/>
    <w:rsid w:val="05DCE851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1DE74ED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2023-04-13T15:43:22.4379960Z</dcterms:modified>
</coreProperties>
</file>