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CyAN</w:t>
      </w:r>
      <w:r>
        <w:t xml:space="preserve"> </w:t>
      </w:r>
      <w:r>
        <w:t xml:space="preserve">Update</w:t>
      </w:r>
      <w:r>
        <w:t xml:space="preserve"> </w:t>
      </w:r>
      <w:r>
        <w:t xml:space="preserve">(2021-04-01</w:t>
      </w:r>
      <w:r>
        <w:t xml:space="preserve"> </w:t>
      </w:r>
      <w:r>
        <w:t xml:space="preserve">-</w:t>
      </w:r>
      <w:r>
        <w:t xml:space="preserve"> </w:t>
      </w:r>
      <w:r>
        <w:t xml:space="preserve">2021-08-01)</w:t>
      </w:r>
      <w:r>
        <w:t xml:space="preserve"> </w:t>
      </w:r>
      <w:r>
        <w:t xml:space="preserve">for</w:t>
      </w:r>
      <w:r>
        <w:t xml:space="preserve"> </w:t>
      </w:r>
      <w:r>
        <w:t xml:space="preserve">Eastern</w:t>
      </w:r>
      <w:r>
        <w:t xml:space="preserve"> </w:t>
      </w:r>
      <w:r>
        <w:t xml:space="preserve">Region</w:t>
      </w:r>
    </w:p>
    <w:p>
      <w:pPr>
        <w:pStyle w:val="Date"/>
      </w:pPr>
      <w:r>
        <w:t xml:space="preserve">Report</w:t>
      </w:r>
      <w:r>
        <w:t xml:space="preserve"> </w:t>
      </w:r>
      <w:r>
        <w:t xml:space="preserve">Date:</w:t>
      </w:r>
      <w:r>
        <w:t xml:space="preserve"> </w:t>
      </w:r>
      <w:r>
        <w:t xml:space="preserve">2021-08-02</w:t>
      </w:r>
    </w:p>
    <w:p>
      <w:pPr>
        <w:pStyle w:val="FirstParagraph"/>
      </w:pPr>
      <w:r>
        <w:rPr>
          <w:iCs/>
          <w:i/>
        </w:rPr>
        <w:t xml:space="preserve">——Cut to the email recipient field:————————————</w:t>
      </w:r>
    </w:p>
    <w:p>
      <w:pPr>
        <w:pStyle w:val="BodyText"/>
      </w:pPr>
      <w:r>
        <w:rPr>
          <w:bCs/>
          <w:b/>
        </w:rPr>
        <w:t xml:space="preserve">TO:</w:t>
      </w:r>
    </w:p>
    <w:p>
      <w:pPr>
        <w:pStyle w:val="BodyText"/>
      </w:pPr>
      <w:r>
        <w:t xml:space="preserve">BUTCHER Don * DEQ</w:t>
      </w:r>
      <w:r>
        <w:t xml:space="preserve"> </w:t>
      </w:r>
      <w:hyperlink r:id="rId20">
        <w:r>
          <w:rPr>
            <w:rStyle w:val="Hyperlink"/>
          </w:rPr>
          <w:t xml:space="preserve">don.butcher@deq.state.or.us</w:t>
        </w:r>
      </w:hyperlink>
      <w:r>
        <w:t xml:space="preserve">;</w:t>
      </w:r>
      <w:r>
        <w:t xml:space="preserve"> </w:t>
      </w:r>
      <w:r>
        <w:t xml:space="preserve">DADOLY John * DEQ</w:t>
      </w:r>
      <w:r>
        <w:t xml:space="preserve"> </w:t>
      </w:r>
      <w:hyperlink r:id="rId21">
        <w:r>
          <w:rPr>
            <w:rStyle w:val="Hyperlink"/>
          </w:rPr>
          <w:t xml:space="preserve">john.dadoly@deq.state.or.us</w:t>
        </w:r>
      </w:hyperlink>
      <w:r>
        <w:t xml:space="preserve">;</w:t>
      </w:r>
      <w:r>
        <w:t xml:space="preserve"> </w:t>
      </w:r>
      <w:r>
        <w:t xml:space="preserve">HIATT Mike * DEQ</w:t>
      </w:r>
      <w:r>
        <w:t xml:space="preserve"> </w:t>
      </w:r>
      <w:hyperlink r:id="rId22">
        <w:r>
          <w:rPr>
            <w:rStyle w:val="Hyperlink"/>
          </w:rPr>
          <w:t xml:space="preserve">mike.hiatt@deq.state.or.us</w:t>
        </w:r>
      </w:hyperlink>
      <w:r>
        <w:t xml:space="preserve">;</w:t>
      </w:r>
      <w:r>
        <w:t xml:space="preserve"> </w:t>
      </w:r>
      <w:r>
        <w:t xml:space="preserve">MEHTA Smita * DEQ</w:t>
      </w:r>
      <w:r>
        <w:t xml:space="preserve"> </w:t>
      </w:r>
      <w:hyperlink r:id="rId23">
        <w:r>
          <w:rPr>
            <w:rStyle w:val="Hyperlink"/>
          </w:rPr>
          <w:t xml:space="preserve">smita.mehta@deq.state.or.us</w:t>
        </w:r>
      </w:hyperlink>
      <w:r>
        <w:t xml:space="preserve">;</w:t>
      </w:r>
      <w:r>
        <w:t xml:space="preserve"> </w:t>
      </w:r>
      <w:r>
        <w:t xml:space="preserve">STOKEN Olivia * DEQ</w:t>
      </w:r>
      <w:r>
        <w:t xml:space="preserve"> </w:t>
      </w:r>
      <w:hyperlink r:id="rId24">
        <w:r>
          <w:rPr>
            <w:rStyle w:val="Hyperlink"/>
          </w:rPr>
          <w:t xml:space="preserve">olivia.stoken@deq.state.or.us</w:t>
        </w:r>
      </w:hyperlink>
    </w:p>
    <w:p>
      <w:pPr>
        <w:pStyle w:val="BodyText"/>
      </w:pPr>
      <w:r>
        <w:rPr>
          <w:bCs/>
          <w:b/>
        </w:rPr>
        <w:t xml:space="preserve">CC:</w:t>
      </w:r>
    </w:p>
    <w:p>
      <w:pPr>
        <w:pStyle w:val="BodyText"/>
      </w:pPr>
      <w:r>
        <w:t xml:space="preserve">GRUND Yuan * DEQ</w:t>
      </w:r>
      <w:r>
        <w:t xml:space="preserve"> </w:t>
      </w:r>
      <w:hyperlink r:id="rId25">
        <w:r>
          <w:rPr>
            <w:rStyle w:val="Hyperlink"/>
          </w:rPr>
          <w:t xml:space="preserve">yuan.grund@deq.state.or.us</w:t>
        </w:r>
      </w:hyperlink>
      <w:r>
        <w:t xml:space="preserve">;</w:t>
      </w:r>
      <w:r>
        <w:t xml:space="preserve"> </w:t>
      </w:r>
      <w:r>
        <w:t xml:space="preserve">COSTELLO Erin * DEQ</w:t>
      </w:r>
      <w:r>
        <w:t xml:space="preserve"> </w:t>
      </w:r>
      <w:hyperlink r:id="rId26">
        <w:r>
          <w:rPr>
            <w:rStyle w:val="Hyperlink"/>
          </w:rPr>
          <w:t xml:space="preserve">erin.costello@deq.state.or.us</w:t>
        </w:r>
      </w:hyperlink>
      <w:r>
        <w:t xml:space="preserve">;</w:t>
      </w:r>
      <w:r>
        <w:t xml:space="preserve"> </w:t>
      </w:r>
      <w:r>
        <w:t xml:space="preserve">ADHAR Ratnanjali * DEQ</w:t>
      </w:r>
      <w:r>
        <w:t xml:space="preserve"> </w:t>
      </w:r>
      <w:hyperlink r:id="rId27">
        <w:r>
          <w:rPr>
            <w:rStyle w:val="Hyperlink"/>
          </w:rPr>
          <w:t xml:space="preserve">Ratnanjali.ADHAR@deq.state.or.us</w:t>
        </w:r>
      </w:hyperlink>
      <w:r>
        <w:t xml:space="preserve">;</w:t>
      </w:r>
      <w:r>
        <w:t xml:space="preserve"> </w:t>
      </w:r>
      <w:r>
        <w:t xml:space="preserve">SOBOTA Daniel * DEQ</w:t>
      </w:r>
      <w:r>
        <w:t xml:space="preserve"> </w:t>
      </w:r>
      <w:hyperlink r:id="rId28">
        <w:r>
          <w:rPr>
            <w:rStyle w:val="Hyperlink"/>
          </w:rPr>
          <w:t xml:space="preserve">daniel.sobota@deq.state.or.us</w:t>
        </w:r>
      </w:hyperlink>
    </w:p>
    <w:p>
      <w:pPr>
        <w:pStyle w:val="BodyText"/>
      </w:pPr>
      <w:r>
        <w:rPr>
          <w:iCs/>
          <w:i/>
        </w:rPr>
        <w:t xml:space="preserve">——Cut to the email contents:————————————</w:t>
      </w:r>
    </w:p>
    <w:p>
      <w:pPr>
        <w:pStyle w:val="BodyText"/>
      </w:pPr>
      <w:r>
        <w:t xml:space="preserve">Hello all,</w:t>
      </w:r>
    </w:p>
    <w:p>
      <w:pPr>
        <w:pStyle w:val="BodyText"/>
      </w:pPr>
      <w:r>
        <w:t xml:space="preserve">Below is the update for satellite imagery estimates of cyanobacteria in Eastern Region waterbodies.</w:t>
      </w:r>
    </w:p>
    <w:p>
      <w:pPr>
        <w:pStyle w:val="BodyText"/>
      </w:pPr>
      <w:r>
        <w:t xml:space="preserve">Please note that:</w:t>
      </w:r>
    </w:p>
    <w:p>
      <w:pPr>
        <w:numPr>
          <w:ilvl w:val="0"/>
          <w:numId w:val="1001"/>
        </w:numPr>
      </w:pPr>
      <w:r>
        <w:t xml:space="preserve">The 7-Day Average Daily Maximum is used for summarizing the cyanobacterial cell counts.</w:t>
      </w:r>
    </w:p>
    <w:p>
      <w:pPr>
        <w:numPr>
          <w:ilvl w:val="0"/>
          <w:numId w:val="1001"/>
        </w:numPr>
      </w:pPr>
      <w:r>
        <w:t xml:space="preserve">The table includes all waterbodies with 7-Day Average Daily Maximum of cell counts above WHO thresholds (100,000 cells/mL) in the last 7 days.</w:t>
      </w:r>
    </w:p>
    <w:p>
      <w:pPr>
        <w:numPr>
          <w:ilvl w:val="0"/>
          <w:numId w:val="1001"/>
        </w:numPr>
      </w:pPr>
      <w:r>
        <w:t xml:space="preserve">The time series plots include all resolvable waterbodies identified from EPA’s CyAN project. The plots report both the daily average and daily maximum cell counts from April 1st through the present.</w:t>
      </w:r>
    </w:p>
    <w:p>
      <w:pPr>
        <w:numPr>
          <w:ilvl w:val="0"/>
          <w:numId w:val="1001"/>
        </w:numPr>
      </w:pPr>
      <w:r>
        <w:t xml:space="preserve">All data presented in this report are provisional and subject to change. Estimates of cyanobacteria abundance may be skewed by cloud cover, ice cover, sun glint, water surface roughness, dry lake beds, algal mats and shoreline effects. We suggest examining additional imagery from Sentinel 2 (</w:t>
      </w:r>
      <w:hyperlink r:id="rId29">
        <w:r>
          <w:rPr>
            <w:rStyle w:val="Hyperlink"/>
          </w:rPr>
          <w:t xml:space="preserve">https://www.sentinel-hub.com/explore/sentinelplayground/</w:t>
        </w:r>
      </w:hyperlink>
      <w:r>
        <w:t xml:space="preserve">) or following up with site visits to confirm on the ground conditions.</w:t>
      </w:r>
    </w:p>
    <w:p>
      <w:pPr>
        <w:pStyle w:val="FirstParagraph"/>
      </w:pPr>
      <w:r>
        <w:t xml:space="preserve">Cheers!</w:t>
      </w:r>
    </w:p>
    <w:p>
      <w:pPr>
        <w:pStyle w:val="BodyText"/>
      </w:pPr>
      <w:r>
        <w:rPr>
          <w:iCs/>
          <w:i/>
        </w:rPr>
        <w:t xml:space="preserve">——DELETE ABOVE AFTER CUT AND PASTE——</w:t>
      </w:r>
    </w:p>
    <w:p>
      <w:pPr>
        <w:pStyle w:val="BodyText"/>
      </w:pPr>
      <w:r>
        <w:t xml:space="preserve">Attn: Don Butcher, John Dadoly, Mike Hiatt, and Smita Mehta</w:t>
      </w:r>
    </w:p>
    <w:p>
      <w:r>
        <w:pict>
          <v:rect style="width:0;height:1.5pt" o:hralign="center" o:hrstd="t" o:hr="t"/>
        </w:pic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ableCaption"/>
      </w:pPr>
      <w:r>
        <w:t xml:space="preserve">Waterbodies ranked by the 7-Day Average Daily Maximum of cyanobacteria abundance (cells/mL) that are above the WHO guideline (100,000 cells/mL) for cyanobacteria in recreational freshwater during the 7 days from 2021-07-25 to 2021-08-01. The waterbody hydrographic types and basin names are shown in the table. The waterbodies, which 7-Day Average Daily Maximum of cyanobacteria abundance are less than 6310 cells/mL (the satellite detection threshold value), are not included in the table.</w:t>
      </w:r>
    </w:p>
    <w:tbl>
      <w:tblPr>
        <w:tblStyle w:val="Table"/>
        <w:tblW w:type="auto" w:w="0"/>
        <w:tblLook w:firstRow="1" w:lastRow="0" w:firstColumn="0" w:lastColumn="0" w:noHBand="0" w:noVBand="0" w:val="0020"/>
        <w:tblCaption w:val="Waterbodies ranked by the 7-Day Average Daily Maximum of cyanobacteria abundance (cells/mL) that are above the WHO guideline (100,000 cells/mL) for cyanobacteria in recreational freshwater during the 7 days from 2021-07-25 to 2021-08-01. The waterbody hydrographic types and basin names are shown in the table. The waterbodies, which 7-Day Average Daily Maximum of cyanobacteria abundance are less than 6310 cells/mL (the satellite detection threshold value), are not included in the table."/>
      </w:tblPr>
      <w:tblGrid>
        <w:gridCol w:w="1980"/>
        <w:gridCol w:w="1980"/>
        <w:gridCol w:w="1980"/>
        <w:gridCol w:w="1980"/>
      </w:tblGrid>
      <w:tr>
        <w:trPr>
          <w:tblHeader w:val="true"/>
        </w:trPr>
        <w:tc>
          <w:tcPr/>
          <w:p>
            <w:pPr>
              <w:pStyle w:val="Compact"/>
              <w:jc w:val="left"/>
            </w:pPr>
            <w:r>
              <w:t xml:space="preserve">Waterbody_GNISID</w:t>
            </w:r>
          </w:p>
        </w:tc>
        <w:tc>
          <w:tcPr/>
          <w:p>
            <w:pPr>
              <w:pStyle w:val="Compact"/>
              <w:jc w:val="left"/>
            </w:pPr>
            <w:r>
              <w:t xml:space="preserve">Hydrographic Type</w:t>
            </w:r>
          </w:p>
        </w:tc>
        <w:tc>
          <w:tcPr/>
          <w:p>
            <w:pPr>
              <w:pStyle w:val="Compact"/>
              <w:jc w:val="left"/>
            </w:pPr>
            <w:r>
              <w:t xml:space="preserve">Basin</w:t>
            </w:r>
          </w:p>
        </w:tc>
        <w:tc>
          <w:tcPr/>
          <w:p>
            <w:pPr>
              <w:pStyle w:val="Compact"/>
              <w:jc w:val="left"/>
            </w:pPr>
            <w:r>
              <w:t xml:space="preserve">Average 7 Daily Maximum (cells/mL)</w:t>
            </w:r>
          </w:p>
        </w:tc>
      </w:tr>
      <w:tr>
        <w:tc>
          <w:tcPr/>
          <w:p>
            <w:pPr>
              <w:pStyle w:val="Compact"/>
              <w:jc w:val="left"/>
            </w:pPr>
            <w:r>
              <w:t xml:space="preserve">Upper Klamath Lake_01151685</w:t>
            </w:r>
          </w:p>
        </w:tc>
        <w:tc>
          <w:tcPr/>
          <w:p>
            <w:pPr>
              <w:pStyle w:val="Compact"/>
              <w:jc w:val="left"/>
            </w:pPr>
            <w:r>
              <w:t xml:space="preserve">Perennial</w:t>
            </w:r>
          </w:p>
        </w:tc>
        <w:tc>
          <w:tcPr/>
          <w:p>
            <w:pPr>
              <w:pStyle w:val="Compact"/>
              <w:jc w:val="left"/>
            </w:pPr>
            <w:r>
              <w:t xml:space="preserve">Klamath</w:t>
            </w:r>
          </w:p>
        </w:tc>
        <w:tc>
          <w:tcPr/>
          <w:p>
            <w:pPr>
              <w:pStyle w:val="Compact"/>
              <w:jc w:val="left"/>
            </w:pPr>
            <w:r>
              <w:t xml:space="preserve">4,986,462</w:t>
            </w:r>
          </w:p>
        </w:tc>
      </w:tr>
      <w:tr>
        <w:tc>
          <w:tcPr/>
          <w:p>
            <w:pPr>
              <w:pStyle w:val="Compact"/>
              <w:jc w:val="left"/>
            </w:pPr>
            <w:r>
              <w:t xml:space="preserve">Davis Lake_01140666</w:t>
            </w:r>
          </w:p>
        </w:tc>
        <w:tc>
          <w:tcPr/>
          <w:p>
            <w:pPr>
              <w:pStyle w:val="Compact"/>
              <w:jc w:val="left"/>
            </w:pPr>
            <w:r>
              <w:t xml:space="preserve">Perennial</w:t>
            </w:r>
          </w:p>
        </w:tc>
        <w:tc>
          <w:tcPr/>
          <w:p>
            <w:pPr>
              <w:pStyle w:val="Compact"/>
              <w:jc w:val="left"/>
            </w:pPr>
            <w:r>
              <w:t xml:space="preserve">Deschutes</w:t>
            </w:r>
          </w:p>
        </w:tc>
        <w:tc>
          <w:tcPr/>
          <w:p>
            <w:pPr>
              <w:pStyle w:val="Compact"/>
              <w:jc w:val="left"/>
            </w:pPr>
            <w:r>
              <w:t xml:space="preserve">2,735,040</w:t>
            </w:r>
          </w:p>
        </w:tc>
      </w:tr>
      <w:tr>
        <w:tc>
          <w:tcPr/>
          <w:p>
            <w:pPr>
              <w:pStyle w:val="Compact"/>
              <w:jc w:val="left"/>
            </w:pPr>
            <w:r>
              <w:t xml:space="preserve">Cold Springs Reservoir_01119125</w:t>
            </w:r>
          </w:p>
        </w:tc>
        <w:tc>
          <w:tcPr/>
          <w:p>
            <w:pPr>
              <w:pStyle w:val="Compact"/>
              <w:jc w:val="left"/>
            </w:pPr>
            <w:r>
              <w:t xml:space="preserve">Perennial</w:t>
            </w:r>
          </w:p>
        </w:tc>
        <w:tc>
          <w:tcPr/>
          <w:p>
            <w:pPr>
              <w:pStyle w:val="Compact"/>
              <w:jc w:val="left"/>
            </w:pPr>
            <w:r>
              <w:t xml:space="preserve">Middle Columbia</w:t>
            </w:r>
          </w:p>
        </w:tc>
        <w:tc>
          <w:tcPr/>
          <w:p>
            <w:pPr>
              <w:pStyle w:val="Compact"/>
              <w:jc w:val="left"/>
            </w:pPr>
            <w:r>
              <w:t xml:space="preserve">1,932,817</w:t>
            </w:r>
          </w:p>
        </w:tc>
      </w:tr>
      <w:tr>
        <w:tc>
          <w:tcPr/>
          <w:p>
            <w:pPr>
              <w:pStyle w:val="Compact"/>
              <w:jc w:val="left"/>
            </w:pPr>
            <w:r>
              <w:t xml:space="preserve">Summer Lake_01150595</w:t>
            </w:r>
          </w:p>
        </w:tc>
        <w:tc>
          <w:tcPr/>
          <w:p>
            <w:pPr>
              <w:pStyle w:val="Compact"/>
              <w:jc w:val="left"/>
            </w:pPr>
            <w:r>
              <w:t xml:space="preserve">Intermittent</w:t>
            </w:r>
          </w:p>
        </w:tc>
        <w:tc>
          <w:tcPr/>
          <w:p>
            <w:pPr>
              <w:pStyle w:val="Compact"/>
              <w:jc w:val="left"/>
            </w:pPr>
            <w:r>
              <w:t xml:space="preserve">Oregon Closed Basins</w:t>
            </w:r>
          </w:p>
        </w:tc>
        <w:tc>
          <w:tcPr/>
          <w:p>
            <w:pPr>
              <w:pStyle w:val="Compact"/>
              <w:jc w:val="left"/>
            </w:pPr>
            <w:r>
              <w:t xml:space="preserve">1,524,177</w:t>
            </w:r>
          </w:p>
        </w:tc>
      </w:tr>
      <w:tr>
        <w:tc>
          <w:tcPr/>
          <w:p>
            <w:pPr>
              <w:pStyle w:val="Compact"/>
              <w:jc w:val="left"/>
            </w:pPr>
            <w:r>
              <w:t xml:space="preserve">Gerber Reservoir_01121105</w:t>
            </w:r>
          </w:p>
        </w:tc>
        <w:tc>
          <w:tcPr/>
          <w:p>
            <w:pPr>
              <w:pStyle w:val="Compact"/>
              <w:jc w:val="left"/>
            </w:pPr>
            <w:r>
              <w:t xml:space="preserve">Perennial</w:t>
            </w:r>
          </w:p>
        </w:tc>
        <w:tc>
          <w:tcPr/>
          <w:p>
            <w:pPr>
              <w:pStyle w:val="Compact"/>
              <w:jc w:val="left"/>
            </w:pPr>
            <w:r>
              <w:t xml:space="preserve">Klamath</w:t>
            </w:r>
          </w:p>
        </w:tc>
        <w:tc>
          <w:tcPr/>
          <w:p>
            <w:pPr>
              <w:pStyle w:val="Compact"/>
              <w:jc w:val="left"/>
            </w:pPr>
            <w:r>
              <w:t xml:space="preserve">1,395,336</w:t>
            </w:r>
          </w:p>
        </w:tc>
      </w:tr>
      <w:tr>
        <w:tc>
          <w:tcPr/>
          <w:p>
            <w:pPr>
              <w:pStyle w:val="Compact"/>
              <w:jc w:val="left"/>
            </w:pPr>
            <w:r>
              <w:t xml:space="preserve">Crane Prairie Reservoir_01140386</w:t>
            </w:r>
          </w:p>
        </w:tc>
        <w:tc>
          <w:tcPr/>
          <w:p>
            <w:pPr>
              <w:pStyle w:val="Compact"/>
              <w:jc w:val="left"/>
            </w:pPr>
            <w:r>
              <w:t xml:space="preserve">Perennial</w:t>
            </w:r>
          </w:p>
        </w:tc>
        <w:tc>
          <w:tcPr/>
          <w:p>
            <w:pPr>
              <w:pStyle w:val="Compact"/>
              <w:jc w:val="left"/>
            </w:pPr>
            <w:r>
              <w:t xml:space="preserve">Deschutes</w:t>
            </w:r>
          </w:p>
        </w:tc>
        <w:tc>
          <w:tcPr/>
          <w:p>
            <w:pPr>
              <w:pStyle w:val="Compact"/>
              <w:jc w:val="left"/>
            </w:pPr>
            <w:r>
              <w:t xml:space="preserve">1,074,193</w:t>
            </w:r>
          </w:p>
        </w:tc>
      </w:tr>
      <w:tr>
        <w:tc>
          <w:tcPr/>
          <w:p>
            <w:pPr>
              <w:pStyle w:val="Compact"/>
              <w:jc w:val="left"/>
            </w:pPr>
            <w:r>
              <w:t xml:space="preserve">Malheur Lake_01123710</w:t>
            </w:r>
          </w:p>
        </w:tc>
        <w:tc>
          <w:tcPr/>
          <w:p>
            <w:pPr>
              <w:pStyle w:val="Compact"/>
              <w:jc w:val="left"/>
            </w:pPr>
            <w:r>
              <w:t xml:space="preserve">Swamp/Marsh: Perennial</w:t>
            </w:r>
          </w:p>
        </w:tc>
        <w:tc>
          <w:tcPr/>
          <w:p>
            <w:pPr>
              <w:pStyle w:val="Compact"/>
              <w:jc w:val="left"/>
            </w:pPr>
            <w:r>
              <w:t xml:space="preserve">Oregon Closed Basins</w:t>
            </w:r>
          </w:p>
        </w:tc>
        <w:tc>
          <w:tcPr/>
          <w:p>
            <w:pPr>
              <w:pStyle w:val="Compact"/>
              <w:jc w:val="left"/>
            </w:pPr>
            <w:r>
              <w:t xml:space="preserve">1,058,096</w:t>
            </w:r>
          </w:p>
        </w:tc>
      </w:tr>
      <w:tr>
        <w:tc>
          <w:tcPr/>
          <w:p>
            <w:pPr>
              <w:pStyle w:val="Compact"/>
              <w:jc w:val="left"/>
            </w:pPr>
            <w:r>
              <w:t xml:space="preserve">Lake Billy Chinook_01138120</w:t>
            </w:r>
          </w:p>
        </w:tc>
        <w:tc>
          <w:tcPr/>
          <w:p>
            <w:pPr>
              <w:pStyle w:val="Compact"/>
              <w:jc w:val="left"/>
            </w:pPr>
            <w:r>
              <w:t xml:space="preserve">Perennial</w:t>
            </w:r>
          </w:p>
        </w:tc>
        <w:tc>
          <w:tcPr/>
          <w:p>
            <w:pPr>
              <w:pStyle w:val="Compact"/>
              <w:jc w:val="left"/>
            </w:pPr>
            <w:r>
              <w:t xml:space="preserve">Deschutes</w:t>
            </w:r>
          </w:p>
        </w:tc>
        <w:tc>
          <w:tcPr/>
          <w:p>
            <w:pPr>
              <w:pStyle w:val="Compact"/>
              <w:jc w:val="left"/>
            </w:pPr>
            <w:r>
              <w:t xml:space="preserve">644,084</w:t>
            </w:r>
          </w:p>
        </w:tc>
      </w:tr>
      <w:tr>
        <w:tc>
          <w:tcPr/>
          <w:p>
            <w:pPr>
              <w:pStyle w:val="Compact"/>
              <w:jc w:val="left"/>
            </w:pPr>
            <w:r>
              <w:t xml:space="preserve">Hart Lake_01121637</w:t>
            </w:r>
          </w:p>
        </w:tc>
        <w:tc>
          <w:tcPr/>
          <w:p>
            <w:pPr>
              <w:pStyle w:val="Compact"/>
              <w:jc w:val="left"/>
            </w:pPr>
            <w:r>
              <w:t xml:space="preserve">Perennial</w:t>
            </w:r>
          </w:p>
        </w:tc>
        <w:tc>
          <w:tcPr/>
          <w:p>
            <w:pPr>
              <w:pStyle w:val="Compact"/>
              <w:jc w:val="left"/>
            </w:pPr>
            <w:r>
              <w:t xml:space="preserve">Oregon Closed Basins</w:t>
            </w:r>
          </w:p>
        </w:tc>
        <w:tc>
          <w:tcPr/>
          <w:p>
            <w:pPr>
              <w:pStyle w:val="Compact"/>
              <w:jc w:val="left"/>
            </w:pPr>
            <w:r>
              <w:t xml:space="preserve">574,773</w:t>
            </w:r>
          </w:p>
        </w:tc>
      </w:tr>
      <w:tr>
        <w:tc>
          <w:tcPr/>
          <w:p>
            <w:pPr>
              <w:pStyle w:val="Compact"/>
              <w:jc w:val="left"/>
            </w:pPr>
            <w:r>
              <w:t xml:space="preserve">Goose Lake_00224325</w:t>
            </w:r>
          </w:p>
        </w:tc>
        <w:tc>
          <w:tcPr/>
          <w:p>
            <w:pPr>
              <w:pStyle w:val="Compact"/>
              <w:jc w:val="left"/>
            </w:pPr>
            <w:r>
              <w:t xml:space="preserve">Perennial</w:t>
            </w:r>
          </w:p>
        </w:tc>
        <w:tc>
          <w:tcPr/>
          <w:p>
            <w:pPr>
              <w:pStyle w:val="Compact"/>
              <w:jc w:val="left"/>
            </w:pPr>
            <w:r>
              <w:t xml:space="preserve">Upper Sacramento</w:t>
            </w:r>
          </w:p>
        </w:tc>
        <w:tc>
          <w:tcPr/>
          <w:p>
            <w:pPr>
              <w:pStyle w:val="Compact"/>
              <w:jc w:val="left"/>
            </w:pPr>
            <w:r>
              <w:t xml:space="preserve">376,704</w:t>
            </w:r>
          </w:p>
        </w:tc>
      </w:tr>
      <w:tr>
        <w:tc>
          <w:tcPr/>
          <w:p>
            <w:pPr>
              <w:pStyle w:val="Compact"/>
              <w:jc w:val="left"/>
            </w:pPr>
            <w:r>
              <w:t xml:space="preserve">Lake Abert_01116755</w:t>
            </w:r>
          </w:p>
        </w:tc>
        <w:tc>
          <w:tcPr/>
          <w:p>
            <w:pPr>
              <w:pStyle w:val="Compact"/>
              <w:jc w:val="left"/>
            </w:pPr>
            <w:r>
              <w:t xml:space="preserve">Perennial</w:t>
            </w:r>
          </w:p>
        </w:tc>
        <w:tc>
          <w:tcPr/>
          <w:p>
            <w:pPr>
              <w:pStyle w:val="Compact"/>
              <w:jc w:val="left"/>
            </w:pPr>
            <w:r>
              <w:t xml:space="preserve">Oregon Closed Basins</w:t>
            </w:r>
          </w:p>
        </w:tc>
        <w:tc>
          <w:tcPr/>
          <w:p>
            <w:pPr>
              <w:pStyle w:val="Compact"/>
              <w:jc w:val="left"/>
            </w:pPr>
            <w:r>
              <w:t xml:space="preserve">233,286</w:t>
            </w:r>
          </w:p>
        </w:tc>
      </w:tr>
      <w:tr>
        <w:tc>
          <w:tcPr/>
          <w:p>
            <w:pPr>
              <w:pStyle w:val="Compact"/>
              <w:jc w:val="left"/>
            </w:pPr>
            <w:r>
              <w:t xml:space="preserve">Crump Lake_01119601</w:t>
            </w:r>
          </w:p>
        </w:tc>
        <w:tc>
          <w:tcPr/>
          <w:p>
            <w:pPr>
              <w:pStyle w:val="Compact"/>
              <w:jc w:val="left"/>
            </w:pPr>
            <w:r>
              <w:t xml:space="preserve">Perennial</w:t>
            </w:r>
          </w:p>
        </w:tc>
        <w:tc>
          <w:tcPr/>
          <w:p>
            <w:pPr>
              <w:pStyle w:val="Compact"/>
              <w:jc w:val="left"/>
            </w:pPr>
            <w:r>
              <w:t xml:space="preserve">Oregon Closed Basins</w:t>
            </w:r>
          </w:p>
        </w:tc>
        <w:tc>
          <w:tcPr/>
          <w:p>
            <w:pPr>
              <w:pStyle w:val="Compact"/>
              <w:jc w:val="left"/>
            </w:pPr>
            <w:r>
              <w:t xml:space="preserve">224,047</w:t>
            </w:r>
          </w:p>
        </w:tc>
      </w:tr>
      <w:tr>
        <w:tc>
          <w:tcPr/>
          <w:p>
            <w:pPr>
              <w:pStyle w:val="Compact"/>
              <w:jc w:val="left"/>
            </w:pPr>
            <w:r>
              <w:t xml:space="preserve">Beulah Reservoir_01117569</w:t>
            </w:r>
          </w:p>
        </w:tc>
        <w:tc>
          <w:tcPr/>
          <w:p>
            <w:pPr>
              <w:pStyle w:val="Compact"/>
              <w:jc w:val="left"/>
            </w:pPr>
            <w:r>
              <w:t xml:space="preserve">Perennial</w:t>
            </w:r>
          </w:p>
        </w:tc>
        <w:tc>
          <w:tcPr/>
          <w:p>
            <w:pPr>
              <w:pStyle w:val="Compact"/>
              <w:jc w:val="left"/>
            </w:pPr>
            <w:r>
              <w:t xml:space="preserve">Middle Snake-Boise</w:t>
            </w:r>
          </w:p>
        </w:tc>
        <w:tc>
          <w:tcPr/>
          <w:p>
            <w:pPr>
              <w:pStyle w:val="Compact"/>
              <w:jc w:val="left"/>
            </w:pPr>
            <w:r>
              <w:t xml:space="preserve">212,453</w:t>
            </w:r>
          </w:p>
        </w:tc>
      </w:tr>
    </w:tbl>
    <w:p>
      <w:r>
        <w:pict>
          <v:rect style="width:0;height:1.5pt" o:hralign="center" o:hrstd="t" o:hr="t"/>
        </w:pict>
      </w:r>
    </w:p>
    <w:p>
      <w:pPr>
        <w:pStyle w:val="FirstParagraph"/>
      </w:pPr>
      <w:r>
        <w:t xml:space="preserve">Figures: Time series plots of daily maximums and daily means of cyanobacteria abundance (cells/mL) of the waterbodies during 2021-04-01 and 2021-08-01 in the Eastern Region.</w:t>
      </w:r>
    </w:p>
    <w:p>
      <w:pPr>
        <w:jc w:val="center"/>
        <w:pStyle w:val="Figure"/>
      </w:pPr>
      <w:r>
        <w:rPr/>
        <w:drawing>
          <wp:inline distT="0" distB="0" distL="0" distR="0">
            <wp:extent cx="9144000" cy="45720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1"/>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2"/>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3"/>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4"/>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5"/>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6"/>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7"/>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8"/>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4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1"/>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2"/>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3"/>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4"/>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5"/>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6"/>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7"/>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8"/>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5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51"/>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52"/>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53"/>
                    <a:srcRect/>
                    <a:stretch>
                      <a:fillRect/>
                    </a:stretch>
                  </pic:blipFill>
                  <pic:spPr bwMode="auto">
                    <a:xfrm>
                      <a:off x="0" y="0"/>
                      <a:ext cx="127000" cy="63500"/>
                    </a:xfrm>
                    <a:prstGeom prst="rect">
                      <a:avLst/>
                    </a:prstGeom>
                    <a:noFill/>
                  </pic:spPr>
                </pic:pic>
              </a:graphicData>
            </a:graphic>
          </wp:inline>
        </w:drawing>
      </w:r>
    </w:p>
    <w:p>
      <w:pPr>
        <w:sectPr>
          <w:pgSz w:h="11906" w:w="16838" w:orient="landscape"/>
          <w:type w:val="oddPage"/>
          <w:cols/>
          <w:pgMar xmlns:w="http://schemas.openxmlformats.org/wordprocessingml/2006/main" w:header="720" w:bottom="1800" w:top="1800" w:right="720" w:left="720" w:footer="720" w:gutter="720"/>
        </w:sectPr>
      </w:pPr>
    </w:p>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6548F8F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B88A72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C5F269E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D856DE7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57ACAF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9238DD1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437C41B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9D08CF6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94EF82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780CE0C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4C4EBBA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86E2348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7848F68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0BC657B3"/>
    <w:multiLevelType w:val="multilevel"/>
    <w:tmpl w:val="040C001D"/>
    <w:numStyleLink w:val="Defaultul"/>
  </w:abstractNum>
  <w:abstractNum w15:restartNumberingAfterBreak="0" w:abstractNumId="14">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289B7C2A"/>
    <w:multiLevelType w:val="multilevel"/>
    <w:tmpl w:val="4B88F872"/>
    <w:numStyleLink w:val="Defaultol"/>
  </w:abstractNum>
  <w:abstractNum w15:restartNumberingAfterBreak="0" w:abstractNumId="20">
    <w:nsid w:val="2C1AE401"/>
    <w:multiLevelType w:val="multilevel"/>
    <w:tmpl w:val="16BCA6D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1315DCA"/>
    <w:multiLevelType w:val="multilevel"/>
    <w:tmpl w:val="C2C6D9D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7">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5"/>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7"/>
  </w:num>
  <w:num w:numId="13">
    <w:abstractNumId w:val="25"/>
  </w:num>
  <w:num w:numId="14">
    <w:abstractNumId w:val="24"/>
  </w:num>
  <w:num w:numId="15">
    <w:abstractNumId w:val="23"/>
  </w:num>
  <w:num w:numId="16">
    <w:abstractNumId w:val="16"/>
  </w:num>
  <w:num w:numId="17">
    <w:abstractNumId w:val="17"/>
  </w:num>
  <w:num w:numId="18">
    <w:abstractNumId w:val="29"/>
  </w:num>
  <w:num w:numId="19">
    <w:abstractNumId w:val="22"/>
  </w:num>
  <w:num w:numId="20">
    <w:abstractNumId w:val="28"/>
  </w:num>
  <w:num w:numId="21">
    <w:abstractNumId w:val="14"/>
  </w:num>
  <w:num w:numId="22">
    <w:abstractNumId w:val="18"/>
  </w:num>
  <w:num w:numId="23">
    <w:abstractNumId w:val="21"/>
  </w:num>
  <w:num w:numId="24">
    <w:abstractNumId w:val="13"/>
  </w:num>
  <w:num w:numId="25">
    <w:abstractNumId w:val="19"/>
  </w:num>
  <w:num w:numId="26">
    <w:abstractNumId w:val="20"/>
  </w:num>
  <w:num w:numId="27">
    <w:abstractNumId w:val="0"/>
  </w:num>
  <w:num w:numId="28">
    <w:abstractNumId w:val="0"/>
  </w:num>
  <w:num w:numId="29">
    <w:abstractNumId w:val="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36">
    <w:abstractNumId w:val="11"/>
  </w:num>
  <w:num w:numId="37">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qFormat="1"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basedOn w:val="ListTable3-Accent1"/>
    <w:semiHidden/>
    <w:unhideWhenUsed/>
    <w:qFormat/>
    <w:rsid w:val="005F50D3"/>
    <w:pPr>
      <w:keepNext/>
    </w:pPr>
    <w:tblPr>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FFFFFF" w:themeFill="background1" w:val="clear"/>
    </w:tcPr>
    <w:tblStylePr w:type="firstRow">
      <w:rPr>
        <w:b/>
        <w:bCs/>
        <w:color w:themeColor="background1" w:val="FFFFFF"/>
      </w:rPr>
      <w:tblPr>
        <w:jc w:val="center"/>
      </w:tblPr>
      <w:trPr>
        <w:jc w:val="center"/>
      </w:trPr>
      <w:tcPr>
        <w:tcBorders>
          <w:bottom w:color="000000" w:space="0" w:sz="4" w:themeColor="text1" w:val="single"/>
        </w:tcBorders>
        <w:shd w:color="auto" w:fill="4F81BD" w:themeFill="accent1" w:val="clear"/>
      </w:tcPr>
    </w:tblStylePr>
    <w:tblStylePr w:type="lastRow">
      <w:rPr>
        <w:b/>
        <w:bCs/>
      </w:rPr>
      <w:tblPr/>
      <w:tcPr>
        <w:tcBorders>
          <w:top w:color="4F81BD" w:space="0" w:sz="4" w:themeColor="accent1" w:val="double"/>
        </w:tcBorders>
        <w:shd w:color="auto" w:fill="FFFFFF" w:themeFill="background1" w:val="clear"/>
      </w:tcPr>
    </w:tblStylePr>
    <w:tblStylePr w:type="firstCol">
      <w:rPr>
        <w:b/>
        <w:bCs/>
      </w:rPr>
      <w:tblPr/>
      <w:tcPr>
        <w:tcBorders>
          <w:right w:color="000000" w:space="0" w:sz="4" w:themeColor="text1" w:val="single"/>
        </w:tcBorders>
        <w:shd w:color="auto" w:fill="auto" w:val="clear"/>
      </w:tcPr>
    </w:tblStylePr>
    <w:tblStylePr w:type="lastCol">
      <w:rPr>
        <w:b/>
        <w:bCs/>
      </w:rPr>
      <w:tblPr/>
      <w:tcPr>
        <w:tcBorders>
          <w:left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val="nil"/>
        </w:tcBorders>
        <w:shd w:color="auto" w:fill="FFFFFF" w:themeFill="background1" w:val="clear"/>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F81BD" w:space="0" w:sz="4" w:themeColor="accent1" w:val="double"/>
          <w:left w:val="nil"/>
        </w:tcBorders>
      </w:tcPr>
    </w:tblStylePr>
    <w:tblStylePr w:type="swCell">
      <w:tblPr/>
      <w:tcPr>
        <w:tcBorders>
          <w:top w:color="4F81BD" w:space="0" w:sz="4" w:themeColor="accent1" w:val="double"/>
          <w:right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414BF"/>
    <w:pPr>
      <w:keepNext/>
    </w:pPr>
    <w:rPr>
      <w:i w:val="0"/>
    </w:rPr>
  </w:style>
  <w:style w:customStyle="1" w:styleId="ImageCaption" w:type="paragraph">
    <w:name w:val="Image Caption"/>
    <w:basedOn w:val="Caption"/>
    <w:rsid w:val="00CD4DBF"/>
    <w:pPr>
      <w:jc w:val="center"/>
    </w:pPr>
  </w:style>
  <w:style w:customStyle="1" w:styleId="Figure" w:type="paragraph">
    <w:name w:val="Figure"/>
    <w:basedOn w:val="Normal"/>
    <w:rsid w:val="00C65872"/>
    <w:pPr>
      <w:keepNext/>
      <w:keepLines/>
      <w:spacing w:before="60"/>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uiPriority w:val="99"/>
    <w:rsid w:val="00A23A74"/>
    <w:rPr>
      <w:color w:val="1F497D"/>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TOC2" w:type="paragraph">
    <w:name w:val="toc 2"/>
    <w:basedOn w:val="Normal"/>
    <w:next w:val="Normal"/>
    <w:autoRedefine/>
    <w:uiPriority w:val="39"/>
    <w:unhideWhenUsed/>
    <w:rsid w:val="007414BF"/>
    <w:pPr>
      <w:spacing w:after="100"/>
      <w:ind w:left="240"/>
    </w:pPr>
  </w:style>
  <w:style w:styleId="TOC3" w:type="paragraph">
    <w:name w:val="toc 3"/>
    <w:basedOn w:val="Normal"/>
    <w:next w:val="Normal"/>
    <w:autoRedefine/>
    <w:uiPriority w:val="39"/>
    <w:unhideWhenUsed/>
    <w:rsid w:val="007414BF"/>
    <w:pPr>
      <w:spacing w:after="100"/>
      <w:ind w:left="480"/>
    </w:pPr>
  </w:style>
  <w:style w:styleId="TableofFigures" w:type="paragraph">
    <w:name w:val="table of figures"/>
    <w:aliases w:val="Table style - HABs weekly report"/>
    <w:basedOn w:val="Normal"/>
    <w:next w:val="Normal"/>
    <w:autoRedefine/>
    <w:uiPriority w:val="99"/>
    <w:unhideWhenUsed/>
    <w:qFormat/>
    <w:rsid w:val="007414BF"/>
    <w:pPr>
      <w:spacing w:after="0"/>
    </w:pPr>
  </w:style>
  <w:style w:styleId="GridTable4-Accent1" w:type="table">
    <w:name w:val="Grid Table 4 Accent 1"/>
    <w:basedOn w:val="TableNormal"/>
    <w:uiPriority w:val="49"/>
    <w:rsid w:val="007414BF"/>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3-Accent1" w:type="table">
    <w:name w:val="List Table 3 Accent 1"/>
    <w:basedOn w:val="TableNormal"/>
    <w:uiPriority w:val="48"/>
    <w:rsid w:val="00A23A74"/>
    <w:pPr>
      <w:spacing w:after="0"/>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bCs/>
        <w:color w:themeColor="background1" w:val="FFFFFF"/>
      </w:rPr>
      <w:tblPr/>
      <w:tcPr>
        <w:shd w:color="auto" w:fill="4F81BD" w:themeFill="accent1" w:val="clear"/>
      </w:tcPr>
    </w:tblStylePr>
    <w:tblStylePr w:type="lastRow">
      <w:rPr>
        <w:b/>
        <w:bCs/>
      </w:rPr>
      <w:tblPr/>
      <w:tcPr>
        <w:tcBorders>
          <w:top w:color="4F81BD"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F81BD" w:space="0" w:sz="4" w:themeColor="accent1" w:val="double"/>
          <w:left w:val="nil"/>
        </w:tcBorders>
      </w:tcPr>
    </w:tblStylePr>
    <w:tblStylePr w:type="swCell">
      <w:tblPr/>
      <w:tcPr>
        <w:tcBorders>
          <w:top w:color="4F81BD" w:space="0" w:sz="4" w:themeColor="accent1" w:val="double"/>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9" Type="http://schemas.openxmlformats.org/officeDocument/2006/relationships/hyperlink" Target="https://www.sentinel-hub.com/explore/sentinelplayground/" TargetMode="External"/>
<Relationship Id="rId27" Type="http://schemas.openxmlformats.org/officeDocument/2006/relationships/hyperlink" Target="mailto:Ratnanjali.ADHAR@deq.state.or.us" TargetMode="External"/>
<Relationship Id="rId28" Type="http://schemas.openxmlformats.org/officeDocument/2006/relationships/hyperlink" Target="mailto:daniel.sobota@deq.state.or.us" TargetMode="External"/>
<Relationship Id="rId20" Type="http://schemas.openxmlformats.org/officeDocument/2006/relationships/hyperlink" Target="mailto:don.butcher@deq.state.or.us" TargetMode="External"/>
<Relationship Id="rId26" Type="http://schemas.openxmlformats.org/officeDocument/2006/relationships/hyperlink" Target="mailto:erin.costello@deq.state.or.us" TargetMode="External"/>
<Relationship Id="rId21" Type="http://schemas.openxmlformats.org/officeDocument/2006/relationships/hyperlink" Target="mailto:john.dadoly@deq.state.or.us" TargetMode="External"/>
<Relationship Id="rId22" Type="http://schemas.openxmlformats.org/officeDocument/2006/relationships/hyperlink" Target="mailto:mike.hiatt@deq.state.or.us" TargetMode="External"/>
<Relationship Id="rId24" Type="http://schemas.openxmlformats.org/officeDocument/2006/relationships/hyperlink" Target="mailto:olivia.stoken@deq.state.or.us" TargetMode="External"/>
<Relationship Id="rId23" Type="http://schemas.openxmlformats.org/officeDocument/2006/relationships/hyperlink" Target="mailto:smita.mehta@deq.state.or.us" TargetMode="External"/>
<Relationship Id="rId25" Type="http://schemas.openxmlformats.org/officeDocument/2006/relationships/hyperlink" Target="mailto:yuan.grund@deq.state.or.us" TargetMode="External"/>
<Relationship Id="rId30" Type="http://schemas.openxmlformats.org/officeDocument/2006/relationships/image" Target="media/file39d029b57273.png"/>
<Relationship Id="rId31" Type="http://schemas.openxmlformats.org/officeDocument/2006/relationships/image" Target="media/file39d063e924b0.png"/>
<Relationship Id="rId32" Type="http://schemas.openxmlformats.org/officeDocument/2006/relationships/image" Target="media/file39d02c381e70.png"/>
<Relationship Id="rId33" Type="http://schemas.openxmlformats.org/officeDocument/2006/relationships/image" Target="media/file39d065e718f7.png"/>
<Relationship Id="rId34" Type="http://schemas.openxmlformats.org/officeDocument/2006/relationships/image" Target="media/file39d0159f542.png"/>
<Relationship Id="rId35" Type="http://schemas.openxmlformats.org/officeDocument/2006/relationships/image" Target="media/file39d046b9566f.png"/>
<Relationship Id="rId36" Type="http://schemas.openxmlformats.org/officeDocument/2006/relationships/image" Target="media/file39d06be045b.png"/>
<Relationship Id="rId37" Type="http://schemas.openxmlformats.org/officeDocument/2006/relationships/image" Target="media/file39d01da73046.png"/>
<Relationship Id="rId38" Type="http://schemas.openxmlformats.org/officeDocument/2006/relationships/image" Target="media/file39d06f11637a.png"/>
<Relationship Id="rId39" Type="http://schemas.openxmlformats.org/officeDocument/2006/relationships/image" Target="media/file39d0f206047.png"/>
<Relationship Id="rId40" Type="http://schemas.openxmlformats.org/officeDocument/2006/relationships/image" Target="media/file39d067d17fd9.png"/>
<Relationship Id="rId41" Type="http://schemas.openxmlformats.org/officeDocument/2006/relationships/image" Target="media/file39d02e452bac.png"/>
<Relationship Id="rId42" Type="http://schemas.openxmlformats.org/officeDocument/2006/relationships/image" Target="media/file39d034e437a8.png"/>
<Relationship Id="rId43" Type="http://schemas.openxmlformats.org/officeDocument/2006/relationships/image" Target="media/file39d017ac4a34.png"/>
<Relationship Id="rId44" Type="http://schemas.openxmlformats.org/officeDocument/2006/relationships/image" Target="media/file39d05c1d29bb.png"/>
<Relationship Id="rId45" Type="http://schemas.openxmlformats.org/officeDocument/2006/relationships/image" Target="media/file39d0295d4376.png"/>
<Relationship Id="rId46" Type="http://schemas.openxmlformats.org/officeDocument/2006/relationships/image" Target="media/file39d022811d80.png"/>
<Relationship Id="rId47" Type="http://schemas.openxmlformats.org/officeDocument/2006/relationships/image" Target="media/file39d07c213675.png"/>
<Relationship Id="rId48" Type="http://schemas.openxmlformats.org/officeDocument/2006/relationships/image" Target="media/file39d06fa92733.png"/>
<Relationship Id="rId49" Type="http://schemas.openxmlformats.org/officeDocument/2006/relationships/image" Target="media/file39d01fd3f74.png"/>
<Relationship Id="rId50" Type="http://schemas.openxmlformats.org/officeDocument/2006/relationships/image" Target="media/file39d0685c55.png"/>
<Relationship Id="rId51" Type="http://schemas.openxmlformats.org/officeDocument/2006/relationships/image" Target="media/file39d06df9700c.png"/>
<Relationship Id="rId52" Type="http://schemas.openxmlformats.org/officeDocument/2006/relationships/image" Target="media/file39d02cae2c5a.png"/>
<Relationship Id="rId53" Type="http://schemas.openxmlformats.org/officeDocument/2006/relationships/image" Target="media/file39d04925d7b.png"/>
</Relationships>

</file>

<file path=word/_rels/footnotes.xml.rels><?xml version="1.0" encoding="UTF-8" standalone="yes"?>

<Relationships  xmlns="http://schemas.openxmlformats.org/package/2006/relationships">
<Relationship Id="rId29" Type="http://schemas.openxmlformats.org/officeDocument/2006/relationships/hyperlink" Target="https://www.sentinel-hub.com/explore/sentinelplayground/" TargetMode="External"/>
<Relationship Id="rId27" Type="http://schemas.openxmlformats.org/officeDocument/2006/relationships/hyperlink" Target="mailto:Ratnanjali.ADHAR@deq.state.or.us" TargetMode="External"/>
<Relationship Id="rId28" Type="http://schemas.openxmlformats.org/officeDocument/2006/relationships/hyperlink" Target="mailto:daniel.sobota@deq.state.or.us" TargetMode="External"/>
<Relationship Id="rId20" Type="http://schemas.openxmlformats.org/officeDocument/2006/relationships/hyperlink" Target="mailto:don.butcher@deq.state.or.us" TargetMode="External"/>
<Relationship Id="rId26" Type="http://schemas.openxmlformats.org/officeDocument/2006/relationships/hyperlink" Target="mailto:erin.costello@deq.state.or.us" TargetMode="External"/>
<Relationship Id="rId21" Type="http://schemas.openxmlformats.org/officeDocument/2006/relationships/hyperlink" Target="mailto:john.dadoly@deq.state.or.us" TargetMode="External"/>
<Relationship Id="rId22" Type="http://schemas.openxmlformats.org/officeDocument/2006/relationships/hyperlink" Target="mailto:mike.hiatt@deq.state.or.us" TargetMode="External"/>
<Relationship Id="rId24" Type="http://schemas.openxmlformats.org/officeDocument/2006/relationships/hyperlink" Target="mailto:olivia.stoken@deq.state.or.us" TargetMode="External"/>
<Relationship Id="rId23" Type="http://schemas.openxmlformats.org/officeDocument/2006/relationships/hyperlink" Target="mailto:smita.mehta@deq.state.or.us" TargetMode="External"/>
<Relationship Id="rId25" Type="http://schemas.openxmlformats.org/officeDocument/2006/relationships/hyperlink" Target="mailto:yuan.grund@deq.state.or.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705</Words>
  <Characters>4025</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CyAN Update (2021-04-01 - 2021-08-01)</vt:lpstr>
      <vt:lpstr>Title</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CyAN Update (2021-04-01 - 2021-08-01) for Eastern Region</dc:title>
  <dc:creator/>
  <cp:keywords/>
  <dcterms:created xsi:type="dcterms:W3CDTF">2021-08-02T18:36:47Z</dcterms:created>
  <dcterms:modified xsi:type="dcterms:W3CDTF">2021-08-02T11:36:50Z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2021-08-02</vt:lpwstr>
  </property>
  <property fmtid="{D5CDD505-2E9C-101B-9397-08002B2CF9AE}" pid="3" name="output">
    <vt:lpwstr/>
  </property>
</Properties>
</file>