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Interface Design and Cognitive Ergonomics for Enterprise Treasury Software: A Comprehensive Architectural Framework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Analysis of the ORDR Dashboard Baseline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enterprise treasury software market is defined by an environment of exceptional cognitive demands, high-stakes decision-making, and immense data density. Platforms operating in this sector must transcend superficial aesthetic preferences to prioritize cognitive ergonomics, processing efficiency, and absolute precision. The visual analysis of the current ORDR Treasury Software dashboard reveals a foundational architecture that utilizes a deeply saturated, dark navy-to-violet background, characterized by a left-aligned vertical navigation rail, a top horizontal metadata bar, and a primary content canvas housing modular widget cards such as "New Hedge," "Monitor," and "Market Data."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current ORDR interface projects a modern, sophisticated aesthetic reminiscent of contemporary Software-as-a-Service (SaaS) platforms, it exhibits several critical vulnerabilities when evaluated against the austere, highly calibrated environments required by tier-one institutional trading floors. The background hue, while visually striking, relies heavily on a blue-violet spectrum that can induce chromatic aberration and visual fatigue over extended, ten-hour operational sessions. Furthermore, the numerical data points presented within the interface—such as "Total Exposure: $0," "Hedge Coverage: 0%," and "Open Positions: 7"—appear to utilize a standard proportional sans-serif typeface. In high-density financial ledgers, the absence of monospaced, tabular figures severely impedes vertical scanning and induces unnecessary saccadic eye movements.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Additionally, the primary accent color utilized for system status and active states is a luminous purple. While this color establishes a distinct brand identity, over-reliance on high-luminance purples against dark backgrounds can create halation effects, reducing overall legibility. To successfully capture market share from entrenched incumbents such as the Bloomberg Terminal and BlackRock’s Aladdin, and to secure enterprise installations alongside institutions like Goldman Sachs and Morgan Stanley, the ORDR platform must undergo a rigorous architectural evolution. The design language must pivot from a consumer-facing aesthetic to an uncompromising, enterprise-grade cognitive environment. This comprehensive analysis deconstructs the physiological, psychological, and technical paradigms of financial data visualization to formulate an exhaustive architectural framework for the ORDR Treasury Software.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Deconstructing the Incumbent Paradigms: Bloomberg, BlackRock, and Institutional Banking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engineer an interface capable of displacing industry-standard platforms, it is imperative to deeply analyze the design philosophies, historical trajectories, and user conditioning that govern the current market leaders. The dichotomy between the Bloomberg Terminal and BlackRock’s Aladdin, supplemented by the design systems of major investment banks, illustrates distinct approaches to financial software engineering.</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Bloomberg Terminal: Legacy Conditioning and Absolute Contrast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Bloomberg Terminal relies on a visual identity that is deeply entrenched in the collective consciousness of the global financial sector. The platform's design philosophy is explicitly described by its lead engineers as prioritizing function over form, aiming to establish an interface where critical information is immediately discernible from surrounding noise.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absolute hallmark of this design is a high-contrast, black-and-amber color scheme.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utilization of a pure black (#000000) background paired with high-luminance amber or sunshade (#FFA028) typography is engineered to force data to the forefront of the user's visual field.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high-contrast methodology is intended to support the rapid scanning and parsing of complex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reliance on extreme contrast paradigms is inextricably linked to historical hardware limitations rather than modern ergonomic best practices. The transition of the Bloomberg Terminal from dedicated, proprietary hardware to Windows-based software in the late 1990s involved the meticulous pixel-by-pixel manual transcription of the original 9x19 mono-spaced bitmap font to maintain an unbroken sense of continuity for existing users.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the system eventually updated to a modern TrueType rendering system in 2007—incorporating custom typefaces designed by the renowned British typographer Matthew Carter—the change provoked severe visceral reactions from the user base.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Traders reported physical symptoms, including headaches, and expressed immense frustration over the alteration of what they considered "perfection".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reaction highlights how deeply accustomed financial operators become to specific typographic and luminous renderings, even when those renderings are objectively inferior in modern, high-resolution contexts.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user revolt, the Bloomberg User Experience (UX) team was forced to implement changes incrementally, shifting gradients and colors little by little over weeks or months to prevent disrupting delicate workflows.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Bloomberg design ethos remains highly protectionist regarding its brand identity, extending even to the physical realm with the integration of distinct yellow keys on proprietary keyboards.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the platform utilizes specialized glyphs tailored specifically for finance, such as fraction glyphs with a granularity of 1/64ths, demonstrating an extreme commitment to domain-specific utility.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critical takeaway for the ORDR platform is the profound power of user conditioning. While the absolute contrast of #000000 and #FFA028 may induce physiological visual fatigue over extended periods, the platform leverages the psychological familiarity of these specific hex values to project institutional authority and reliability.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ORDR must recognize that while aggressive contrast implies speed and urgency, it must be carefully tempered with modern cognitive ergonomics to prevent the physiological toll that legacy systems extract from their operators.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BlackRock Aladdin: The Invisible User Interface and Massive Scale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stark contrast to Bloomberg’s visually aggressive and highly branded terminal, BlackRock’s Aladdin platform is engineered around the sophisticated principle of the "invisible UI".</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Aladdin design system intentionally seeks to minimize structural embellishments, heavy branding, and overt presence, allowing the underlying data itself to dictate the user experience.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ecosystem prioritizes consistency and learnability across a vast, complex multi-vendor environment, utilizing modular libraries of interface components to ensure that portfolio managers and risk analysts encounter uniform interaction patterns regardless of the specific application they are utilizing.</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scale at which Aladdin operates necessitates this restrained approach. The platform processes over 116 billion data points and generates over 1.5 million reports available on demand, heavily integrating with massive cloud data infrastructures such as Snowflake.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When users are navigating an ecosystem that encompasses whole portfolio coverage, advanced climate analytics, and over 15,000 Environmental, Social, and Governance (ESG) data metrics, the interface cannot compete for attention.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Aladdin visual design foundation relies on a highly neutral, sophisticated palette specifically formulated to reduce cognitive load.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Spectral analysis of Aladdin interfaces reveals the deployment of muted tones, such as desaturated blues (#88a0b9, #375ba6), soft purples (#807eed, #7fc8b6), and extensive use of medium grays (#bbbbbb).</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restrained approach perfectly aligns with the core pillars of their design language: efficiency in workflow, accuracy in task completion, and absolute clarity in data display.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systematically removing highly saturated, demanding colors from the primary interface, the Aladdin system reserves visual weight and user attention exclusively for critical data points and alerts, thereby extending the user's endurance during protracted analytical sessions. For ORDR, the BlackRock model provides the definitive blueprint for scalability. The ORDR interface must recede, providing a highly structured, calm environment where complex multi-asset workflows can be executed without interference from the UI itself.</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Banking Design Systems: Goldman Sachs and Morgan Stanley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the terminal providers, major investment banks have developed proprietary design systems that set the standard for modern financial software. Goldman Sachs utilizes a highly refined palette customized for institutional finance, built to create rich experiences that support complex UI components and data visualization.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Their primary brand color, Ruddy Blue (#64A8F0), is paired with deep, authoritative backgrounds such as Ebony Clay (#22263F) and Mariner (#2178C4).</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palette projects stability and trust while maintaining enough vibrancy to guide user interactions.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Morgan Stanley’s design system emphasizes accessible, responsive layouts built on a strict 8-pixel base unit spatial framework.</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framework provides rigorous guidelines for creating layouts with a consistent rhythm, reducing design decision-making, and drastically improving cohesiveness across complex dashboards.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Furthermore, Morgan Stanley prioritizes highly distinct visual treatments for button interaction states—differentiating clearly between enabled, hover, pressed, focused, and disabled states—ensuring intuitive interaction and immediate mechanical feedback without relying on overly disruptive animations.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J.P. Morgan’s "Salt" design system focuses on extensive theming capabilities and rigorous typographic hierarchies, utilizing distinct font families for headings versus code blocks.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By analyzing these institutional systems, it becomes evident that ORDR must implement a mathematically precise spatial grid and a highly governed component library to achieve the cohesive, professional polish expected by enterprise clients.</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Cognitive Ergonomics and the Physiology of High-Density Interfaces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treasury software is not utilized in brief, transient sessions. Financial professionals, risk managers, and treasury operators engage with these interfaces for continuous periods often exceeding eight to ten hours per day. Consequently, the interface architecture of ORDR must be optimized for cognitive ergonomics—the scientific discipline of designing systems that align flawlessly with human cognitive abilities, physiological limitations, and perceptual mechanics. A central component of this optimization involves the strategic deployment of display modes, particularly the implementation of dark and light themes, and their profound physiological impacts on the human eye.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Dynamics of Dark Mode, Halation, and Visual Fatigue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implementation of "dark mode" (negative polarity displays) is frequently requested in high-density software environments to mitigate eye strain, remove "loud" tones, and extend the battery life of OLED screens utilized by mobile executives.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However, the empirical medical and ergonomic data regarding the physiological benefits of negative polarity is highly nuanced. While some studies indicate that dark mode reduces self-reported eye fatigue in bright ambient lighting conditions, the effect is often statistically insignificant in dim environments.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Furthermore, negative polarity interfaces can inadvertently increase cognitive load and hinder rapid reading comprehension, particularly in older demographic groups who represent a significant portion of senior financial decision-makers.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mechanism of visual fatigue in poorly executed dark mode interfaces arises from a phenomenon known as halation. When pure white text (#FFFFFF) is placed against a pure black background (#000000), the extreme luminance of the text can cause light to scatter within the ocular fluid of the eye, creating a blurred halo effect around the characters. This phenomenon severely exacerbates astigmatism, a refractive error condition affecting a substantial percentage of the global population. To counteract halation while preserving the perceived benefits of dark mode, enterprise interfaces must strictly avoid pure black backgrounds.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Optimal dark mode implementations for extended trading and treasury sessions utilize deeply desaturated grays, often referred to as anthracite, graphite, or charcoal. Background hex values such as #121212, #1E1E1E, or #2E2E2E drastically reduce the extreme contrast ratio that causes halation while maintaining a sleek, modern aesthetic that reduces overall light emission.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Additionally, the text rendered on these surfaces should be slightly muted (e.g., #E0E0E0 or #B0B0B0) rather than pure white.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sophisticated approach yields a neutral theme that prevents the user's eyes from over-dilating or over-constricting, ensuring that the mind remains calm and focused during long-term operational workflows.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 Mode, Wavelength Management, and Dyslexic Readability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contemporary popularity of dark mode, light mode (positive polarity) remains physiologically superior for rapid reading speed, visual acuity, and complex pattern recognition in adequately lit corporate environments. In positive polarity, the overall brightness of the display causes the human pupil to constrict, which naturally increases the depth of field and sharpens the focus of text on the retina. However, the sustained emission of short-wavelength light (blue light) from pure white backgrounds can suppress melatonin production, interfering with circadian rhythms, reducing sleep quality, and inducing systemic fatigue.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optimize a light theme for the ORDR treasury software, the primary background must be softened to reduce piercing glare. Pure white (#FFFFFF) essentially acts as a direct light source pointing at the user. Transitioning the primary background to a soft, light gray (#F4F6F9 or #F5F5F5) minimizes ocular stress while maintaining the high legibility inherent to positive polarity interfaces.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integrating advanced cognitive ergonomics involves considering the specific hues of the background. Medical studies investigating the effects of different background colors on readability speed in both dyslexic and non-dyslexic individuals have yielded critical insights.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Research indicates that warm background colors—specifically Peach, Orange, and Yellow—significantly improve reading performance over cool background colors like Blue or Green.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Specifically, background hex codes such as Peach (#EDD1B0), Orange/Yellow (#EDDD6E), and Light Yellow (#F8FD89) demonstrated superior performance metrics.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While painting an entire financial dashboard in yellow is aesthetically inappropriate, ORDR can leverage this physiological data by implementing a specialized "Ergonomic Reading Mode" for long-form market research reports or audit logs, utilizing warm, off-white, or peach-tinted backgrounds to drastically accelerate reading comprehension and reduce cognitive friction.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implementing screen light filtering algorithms at the software level—allowing the interface to automatically shift its color temperature toward warmer hues during late-night operational hours—has been proven to significantly increase subjective and objective alertness, improve working memory performance, and enhance subsequent sleep quality for professionals operating in high-stress, shift-based emergency or financial environments.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Typographic Architecture: The Mechanics of Financial Information Transmission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enterprise treasury software, typography is not a secondary aesthetic consideration; it is the primary mechanical vehicle for data transmission. A typographical error or a momentary misinterpretation resulting from poor font selection can result in catastrophic financial consequences. The typographic architecture for ORDR must be engineered for structural integrity, spatial rhythm, and absolute, unambiguous legibility.</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Absolute Imperative of Tabular Figures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critical, non-negotiable requirement for any typeface utilized in a financial interface is the inclusion of tabular figures—also known as monospaced numbers or uniwidth numerals. Standard proportional fonts allocate different horizontal widths to different characters based on their visual weight; for example, the number "1" occupies significantly less horizontal space than the number "8." When proportional figures are stacked in a column, such as in an accounting ledger, a high-density trade blotter, or a treasury exposure report, the decimal points and digits fail to align vertically.</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misalignment destroys the visual structure of the data, forcing the user's eyes to execute erratic saccadic movements to comprehend the magnitude of the figures, rapidly inducing cognitive fatigue.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In user forums, financial professionals explicitly request monospaced numbers, noting that proportional fonts cause numbers to shift constantly, which "drives them nuts" when analyzing multiple rows of fluctuating data.</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Typefaces specifically engineered for coding, accounting, and spreadsheet applications must be deployed for all numerical outputs. Fonts such as IBM Plex Mono, PT Root UI, JetBrains Mono, and Code Saver are highly recommended by UI engineers for data-heavy components.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These fonts often include specialized financial glyphs, clear distinctions between easily confused characters (e.g., the capital "I", lowercase "l", and the numeral "1", or the letter "O" and the numeral "0"), and uniwidth properties that prevent interface elements from shifting horizontally when live market data updates dynamically.</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Defining the Primary UI Typeface Ecosystem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monospaced fonts are mandatory for numerical data, they are often too rigid, wide, and mechanical for primary user interface elements, navigation menus, and long-form prose. For these structural components, a highly legible, beautifully balanced sans-serif typeface is optimal. The selected typeface must perform flawlessly across varying screen resolutions, maintain legibility at extremely small point sizes (e.g., 10px to 12px), and offer a wide variety of weights to establish a clear visual hierarchy.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current landscape of modern enterprise UI design heavily favors robust "workhorse" sans-serif typefaces. Inter, specifically designed for screen interfaces, provides generous line height and exceptional clarity at small sizes, making it an ideal choice for dense dashboards and SaaS platforms.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However, to differentiate ORDR from standard consumer applications, IBM Plex Sans serves as an exceptionally powerful alternative. IBM Plex Sans bridges the gap between clinical neutrality and approachable warmth, ensuring that data-rich environments remain readable over extended durations, and is specifically engineered for enterprise scale.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System fonts such as Apple's SF Pro are highly reliable and offer excellent performance, though developers must account for their specific tracking behaviors and slightly unbalanced kerning at certain display sizes.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Newer geometric sans-serifs, such as Geist, are gaining significant traction for their clean structural aesthetic and high performance in tech-forward environments.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Furthermore, when financial software demands elegance—such as in client-facing PDF reports or high-level executive summaries—incorporating a refined Serif font can project profound professionalism and trust, making them ideal for publishing and formal financial documentation.</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sophisticated, world-class typographic system for the ORDR treasury software will establish a strict dual-font architecture: a robust sans-serif (such as IBM Plex Sans or Inter) designated for all headings, labels, buttons, and system prose, paired seamlessly with a dedicated monospaced font (such as IBM Plex Mono) strictly reserved for numerical data, hash codes, API keys, and financial identifiers.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Truncation and Accessibility Compliance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high-density dashboards, text strings such as lengthy asset names or complex portfolio identifiers often exceed the available horizontal space of their container widgets. Text truncation must be handled with rigorous attention to accessibility. According to standard interface guidelines, truncated text must comply with Web Content Accessibility Guidelines (WCAG) Success Criterion 1.4.4.</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If text is visually truncated using an ellipsis, the system must ensure that a screen reader can still read the full, uninterrupted value, or the full text must be immediately accessible via a highly responsive tooltip upon user hover.</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Failure to implement proper truncation protocols results in critical data obfuscation, which is unacceptable in treasury operations.</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Color Theory, Accessibility, and Semantic Mapping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of color within a high-density financial dashboard must be governed by strict mathematical and semantic rules. Color should never be applied for purely decorative or aesthetic purposes; it must encode quantity, indicate precise groupings, or create stark contrast to direct the user's immediate attention to critical anomalies and system alerts.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When designing a system capable of rivaling BlackRock and Bloomberg, the color framework must be mathematically precise, accessible to visually impaired users, and highly aware of cultural contexts.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Mapping and Cultural Context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industry operates on a universal binary of positive and negative trends, typically represented by green (gains) and red (losses). However, utilizing the raw, highly saturated versions of these colors (e.g., #FF0000 and #00FF00) causes severe visual vibration and optical strain, particularly when viewed against dark mode backgrounds.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To optimize visual comfort without sacrificing operational clarity, the ORDR interface must utilize muted, complex variations of these semantic colors. For dark mode environments, a muted green (#4CAF50) and a soft red (#E57373) maintain the necessary signaling properties without introducing visual toxicity.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For light mode environments, deeper iterations such as forest green (#388E3C) and deep brick red (#D32F2F) provide sufficient contrast against light gray backgrounds without appearing overly aggressive.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enterprise software deployed globally must account for deep cultural contexts regarding color semantics. While Western financial markets intrinsically associate red with deficits, danger, and negative market movements, many Eastern cultures, particularly in Asian financial hubs, associate red with prosperity, growth, and positive market momentum.</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A truly powerful, global treasury platform must architect its design system to allow localized semantic mapping, enabling users or enterprise administrators to easily invert the green/red polarity based on their geographic and cultural operational standards.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Palette Architectures: Sequential, Diverging, and Categorical</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data visualization requires the precise deployment of three distinct types of color palettes, each serving a highly specific analytical function within the dashboard ecosystem.</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Sequential Palettes:</w:t>
      </w:r>
      <w:r w:rsidDel="00000000" w:rsidR="00000000" w:rsidRPr="00000000">
        <w:rPr>
          <w:rFonts w:ascii="Google Sans" w:cs="Google Sans" w:eastAsia="Google Sans" w:hAnsi="Google Sans"/>
          <w:color w:val="1f1f1f"/>
          <w:rtl w:val="0"/>
        </w:rPr>
        <w:t xml:space="preserve"> These palettes utilize a single hue, systematically varying the lightness and saturation to represent data that progresses sequentially from low to high.</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For example, a heat map analyzing the yield curve of US Treasury Bonds, or visualizing sales growth over time, should transition smoothly from a highly luminous, desaturated shade (representing low values) to a dark, heavily saturated shade (representing high values).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A unified sequential palette prevents cognitive overload by ensuring the user only has to process the intensity of one color to intuitively understand the magnitude of the data.</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Diverging Palettes:</w:t>
      </w:r>
      <w:r w:rsidDel="00000000" w:rsidR="00000000" w:rsidRPr="00000000">
        <w:rPr>
          <w:rFonts w:ascii="Google Sans" w:cs="Google Sans" w:eastAsia="Google Sans" w:hAnsi="Google Sans"/>
          <w:color w:val="1f1f1f"/>
          <w:rtl w:val="0"/>
        </w:rPr>
        <w:t xml:space="preserve"> When data diverges from a critical midpoint—such as a zero-baseline representing profit versus loss, or performance relative to an established benchmark—a diverging palette is required.</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These palettes utilize two distinct, contrasting hues at the extremes, transitioning smoothly through a neutral color (such as pale gray or muted beige) at the center.</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This allows treasury analysts to instantly identify underperforming and outperforming assets within a massive portfolio at a single glance, without reading individual numbers.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Categorical Palettes:</w:t>
      </w:r>
      <w:r w:rsidDel="00000000" w:rsidR="00000000" w:rsidRPr="00000000">
        <w:rPr>
          <w:rFonts w:ascii="Google Sans" w:cs="Google Sans" w:eastAsia="Google Sans" w:hAnsi="Google Sans"/>
          <w:color w:val="1f1f1f"/>
          <w:rtl w:val="0"/>
        </w:rPr>
        <w:t xml:space="preserve"> When differentiating between independent variables or groupings, such as distinct asset classes (e.g., Equities, Fixed Income, Derivatives, Commodities), a categorical palette must be employed. This palette requires colors that are highly distinct from one another in hue to establish clear visual boundaries.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However, to prevent visual chaos and maintain institutional elegance, these disparate hues must share a mathematical relationship in their overall luminance and saturation.</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Luminance Indexing, Contrast, and Dichromacy (CVD)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fundamental flaw in legacy financial platforms is the failure to accommodate users with varying degrees of visual impairment, including color vision deficiency (CVD), such as dichromacy (the inability to perceive certain color spectrums, most commonly red and green).</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If a dashboard relies entirely on the raw hue of red and green to communicate catastrophic losses and massive gains, a user with deuteranopia will perceive both critical indicators as an identical shade of muddy yellow, rendering the dashboard functionally useless and operationally dangerous.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construct an accessible, enterprise-grade system, the ORDR color palettes must be built upon varying levels of luminance independent of the hue.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design systems implemented by tier-one institutions like Morgan Stanley explicitly index their color charts to meet Web Content Accessibility Guidelines (WCAG) AAA and AA standards.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For example, if a line chart requires the plotting of three intersecting data series, utilizing three colors with identical brightness will cause them to blend together for users with CVD. Instead, the design system must mathematically specify colors with vast differences in contrast ratios.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Morgan Stanley methodology demonstrates this perfectly by combining hues with heavily varied luminance values: combining a deep, saturated Purple (#6633CC, WCAG ratio 7.25) with a highly luminous, desaturated Jade-80% (#65C581, WCAG ratio 9.85), and a mid-tone Ocean-40% (#9DC5CA, WCAG ratio 11.27).</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By utilizing colors with distinct luminance levels, the platform ensures that the lines remain highly distinguishable to all users, regardless of their specific color perception capabilities.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Formulating the ORDR Color Ecosystem: Engineered Palettes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synthesis of legacy system deficiencies, advanced ergonomic science, accessible design principles, and modern typographic theory, the interface architecture for the ORDR Treasury Software must be built upon a highly structured foundation. The software must offer a sophisticated theming engine capable of adapting to the user's environmental lighting and personal ergonomic requirements. The following three comprehensive color palettes have been exhaustively engineered to address specific cognitive and operational environments for ORDR.</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Palette 1: "Institutional Obsidian" (Optimized Dark Mode)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palette is designed to directly compete with the Bloomberg Terminal's high-contrast environment, but it is scientifically engineered to eliminate halation and minimize astigmatic ocular strain. It replaces pure black with a deep, calming charcoal and replaces aggressive neon hues with sophisticated, muted indicators.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It is highly optimized for multi-monitor trading desks operating in dim or highly controlled ambient lighting environments.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Semantic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Hex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RGB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Ergonomic Rationale and Implementation 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Background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#121212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18, 18, 18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Deep Charcoal. Anchors the interface. Absorbs ambient light without creating the harsh edge contrast of pure black. Maximizes OLED power efficiency.</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Surface /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#1E1E1E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30, 30, 30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Anthracite. Utilized for elevated cards, modals, and data panels. Creates subtle depth and hierarchy without utilizing messy drop shadows.</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Border / Divider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#444444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68, 68, 68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Dark Gray. Provides clean, non-intrusive separation between dense data tables and interface components.</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#E0E0E0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224, 224, 224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Ghost White. High legibility text for primary data points. Softened from pure white to prevent light scattering in the vitreous humor.</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Secondary 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#B0B0B0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176, 176, 176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Muted Silver. Applied to table headers, timestamps, and axis labels. Recedes visually to allow primary data to dominate the hierarchy.</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Positive Indicator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#4CAF50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76, 175, 80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Muted Forest. Denotes asset growth and positive variance. Desaturated to prevent visual vibration against the dark background.</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Negative Indicator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#E57373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229, 115, 115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Soft Terracotta. Denotes deficit or risk. Designed to be clearly visible but devoid of the psychological alarm associated with highly saturated red.</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Brand Accent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#64A8F0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100, 168, 240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Ruddy Blue. Utilized sparingly for active states, selected tabs, and primary action buttons. Projects institutional trust, borrowing equity from Goldman Sachs.</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Palette 2: "Algorithmic Slate" (High-Density Neutral)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palette serves as the direct countermeasure to BlackRock Aladdin’s "invisible UI" approach.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is a medium-contrast, highly neutral environment designed specifically for quants, risk managers, and treasury operators who stare at dense data arrays for prolonged periods. It minimizes extreme shifts in luminosity, keeping the user's pupil dilation relatively static, thereby drastically reducing the muscular fatigue associated with continuous ocular adjustment.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Semantic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Hex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RGB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Ergonomic Rationale and Implementation 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Background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#2E2E2E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46, 46, 46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Deep Graphite. A highly neutral, medium-dark baseline that significantly reduces glare while maintaining a highly professional, clinical aesthetic.</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Surface /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#3A3F44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58, 63, 68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Slate Gray. Provides clear delineation of widgets and data blocks. Ensures the user can easily segment different functional areas of the dashboard.</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#F4F6F9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244, 246, 249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Ice White. Ensures maximum contrast against the slate background without the piercing intensity of absolute white.</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Secondary 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#88A0B9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136, 160, 185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Steel Blue. An intelligent secondary color that introduces a subtle cooling effect to the interface, aiding in psychological calm during high-stress market volatility.</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Visualization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#7FC8B6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127, 200, 182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Desaturated Teal. A non-semantic color utilized for line charts and bar graphs. High luminance ensures visibility without triggering positive/negative biases.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Visualization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#807EED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128, 126, 237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Soft Indigo. A complementary tone for complex, multi-layered charts. Provides excellent contrast ratio against the teal while remaining color-blind accessible.</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Palette 3: "Executive Clarity" (Ergonomic Light Mode)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executive dashboards, high-level reporting interfaces, and day-trading environments characterized by high ambient sunlight, a positive polarity interface is required. This palette deliberately avoids the clinical sterility of pure white backgrounds, utilizing sophisticated light grays and deep, authoritative accents. This theme ensures rapid reading speeds and crisp data rendering while mitigating the blue-light emissions that cause systemic fatigue.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Semantic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Hex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RGB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Ergonomic Rationale and Implementation 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Sidebar / Navigation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#22263F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34, 38, 63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Ebony Clay. Creates a strong, high-contrast anchor on the left side of the screen, clearly separating global navigation from the analytical workspace.</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Background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#F4F6F9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244, 246, 249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Cloud Gray. A highly breathable, low-glare surface for the primary content area. Drastically reduces eye strain compared to traditional white backgrounds.</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Surface /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#FFFFFF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255, 255, 255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Pure White. Used strictly for data cards and interactive widgets, elevating them off the cloud gray background to draw immediate focus to the data.</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#1A1A2E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26, 26, 46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Deep Navy. Replaces pure black for primary text. The subtle blue undertone softens the contrast edge, significantly improving sustained reading comfort.</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Positive Indicator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#388E3C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56, 142, 60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Deep Green. A dark, authoritative green that maintains an exceptionally high contrast ratio against white surfaces for immediate legibility.</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Negative Indicator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#D32F2F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211, 47, 47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Brick Red. A deep, serious red that commands attention without resembling a critical system error or software failure.</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Warning / Alert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#E5C287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229, 194, 135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Warm Amber. Used for secondary alerts or pending actions. Provides a touch of vibrancy without overwhelming the user’s visual hierarchy.</w:t>
            </w:r>
            <w:r w:rsidDel="00000000" w:rsidR="00000000" w:rsidRPr="00000000">
              <w:rPr>
                <w:rFonts w:ascii="Google Sans" w:cs="Google Sans" w:eastAsia="Google Sans" w:hAnsi="Google Sans"/>
                <w:color w:val="444746"/>
                <w:sz w:val="24"/>
                <w:szCs w:val="24"/>
                <w:vertAlign w:val="superscript"/>
                <w:rtl w:val="0"/>
              </w:rPr>
              <w:t xml:space="preserve">48</w:t>
            </w:r>
          </w:p>
        </w:tc>
      </w:tr>
    </w:tbl>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Spatial Frameworks, Interaction States, and Governance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of these highly engineered palettes and typographic standards must be governed by a rigorous, centralized design system. The failure of many enterprise platforms stems from interface fragmentation, where different modules built by disparate engineering teams over time utilize conflicting color hexes, varied spatial margins, or inconsistent button behaviors.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 achieve the modularity and immense scale demonstrated by BlackRock, the ORDR platform must encode these design decisions into immutable, system-wide design tokens.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8-Pixel Mathematical Grid</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applying color or typography, the interface requires a mathematical grid to manage the immense density of financial data. The deployment of an 8-pixel base unit spatial framework is highly recommended, as utilized by institutions like Morgan Stanley.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Every margin, padding, line height, and component dimension within the ORDR dashboard must be a multiple of 8 (e.g., 8px, 16px, 24px, 32px, 64px).</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rigid mathematical approach creates a subconscious visual rhythm across the application, allowing the user's eye to easily predict the location of data points without conscious effort. This modularity ensures that when the software scales across various hardware environments—from massive curved enterprise monitors on a trading floor to compact laptops used by traveling executives—the proportion, spacing, and hierarchy of the data remain perfectly intact and readable.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Interaction States and Micro-Interactions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Creating an actionable design language requires defining specific tokens for interaction states. Elements within the ORDR platform must transition clearly through resting, hover, focused, pressed, and disabled states.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Utilizing mathematically consistent shifts in opacity or lightness provides immediate, tactile feedback to the operator without requiring excessive cognitive processing or utilizing overly animated transitions that distract from the data.</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example, a primary action button utilizing the Ruddy Blue (#64A8F0) in its resting state should shift to a mathematically calculated 10% darker shade upon hover, and a 20% darker shade upon being pressed. Disabled states must remain clearly visible to prevent user confusion, typically utilizing a desaturated gray with low opacity, ensuring the user understands the action is unavailable without straining to read the text.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Designing for AI and Multi-Turn Contexts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modern treasury platforms increasingly integrate algorithmic assistance and Large Language Models (LLMs) to process complex queries, the UI must adapt to conversational interfaces. Advanced platforms must build end-to-end testing frameworks to accommodate multi-turn scenarios, chat histories, and system configurations.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ORDR, this means designing specific UI components that can handle conversational outputs, such as AI-generated summaries of portfolio risk or market data analysis. The typography for these conversational interfaces should utilize the primary sans-serif (IBM Plex Sans), ensuring a highly readable, humanistic tone that contrasts with the rigid tabular data of the ledgers.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By thoughtfully designing the visual container for algorithmic insights, ORDR can seamlessly integrate next-generation capabilities without cluttering the primary analytical workspace.</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objective of disrupting the duopoly held by Bloomberg and BlackRock in the enterprise treasury sector cannot be achieved through the mere replication of their existing interfaces. Bloomberg's high-contrast, legacy-bound aesthetic relies on decades of historical conditioning, while BlackRock's system prioritizes vast structural uniformity to manage unimaginable data scale. The ORDR Treasury Software possesses the unique strategic opportunity to synthesize the strengths of both paradigms into a significantly superior physiological and analytical environment.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implementing an interface architecture fundamentally rooted in advanced cognitive ergonomics, ORDR can drastically reduce the ocular and mental fatigue that plagues financial operators during extended sessions. The strict integration of tabular typography (utilizing specialized fonts like IBM Plex Mono) will ensure absolute mathematical alignment and eliminate the micro-frustrations associated with erratic data scanning. The deployment of meticulously calculated, multi-modal color palettes—ranging from the anti-halation "Institutional Obsidian" to the highly readable, glare-reducing "Executive Clarity"—will provide a level of user-centric customization and physical comfort previously unseen in institutional finance.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by adopting the accessible, luminance-indexed color methodologies of major investment banks, ORDR will ensure that its data visualizations are entirely flawless for all users, regardless of visual acuity or color perception deficiencies. Ultimately, the most powerful enterprise software is not the one that aggressively screams for the user's attention with highly saturated colors and maximum contrast. The most powerful enterprise software acts as an invisible, frictionless conduit between the human mind and the complexities of the global financial markets. By executing this comprehensive, mathematically precise design framework, ORDR will establish a software environment that feels immediately authoritative, fundamentally trustworthy, and effortlessly comfortable for the entire duration of the operational day.</w:t>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Bloomberg's customer-centric design ethos | Bloomberg LP, accessed March 12, 2026, </w:t>
      </w:r>
      <w:hyperlink r:id="rId6">
        <w:r w:rsidDel="00000000" w:rsidR="00000000" w:rsidRPr="00000000">
          <w:rPr>
            <w:rFonts w:ascii="Google Sans" w:cs="Google Sans" w:eastAsia="Google Sans" w:hAnsi="Google Sans"/>
            <w:color w:val="0000ee"/>
            <w:sz w:val="24"/>
            <w:szCs w:val="24"/>
            <w:u w:val="single"/>
            <w:rtl w:val="0"/>
          </w:rPr>
          <w:t xml:space="preserve">https://www.bloomberg.com/company/stories/bloombergs-customer-centric-design-ethos/</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Bloomberg L.P. Brand Color Palette: Hex, RGB, CMYK and UIs - Mobbin, accessed March 12, 2026, </w:t>
      </w:r>
      <w:hyperlink r:id="rId7">
        <w:r w:rsidDel="00000000" w:rsidR="00000000" w:rsidRPr="00000000">
          <w:rPr>
            <w:rFonts w:ascii="Google Sans" w:cs="Google Sans" w:eastAsia="Google Sans" w:hAnsi="Google Sans"/>
            <w:color w:val="0000ee"/>
            <w:sz w:val="24"/>
            <w:szCs w:val="24"/>
            <w:u w:val="single"/>
            <w:rtl w:val="0"/>
          </w:rPr>
          <w:t xml:space="preserve">https://mobbin.com/colors/brand/bloomberg</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Bloomberg Terminal UX designers conceal complexity ..., accessed March 12, 2026, </w:t>
      </w:r>
      <w:hyperlink r:id="rId8">
        <w:r w:rsidDel="00000000" w:rsidR="00000000" w:rsidRPr="00000000">
          <w:rPr>
            <w:rFonts w:ascii="Google Sans" w:cs="Google Sans" w:eastAsia="Google Sans" w:hAnsi="Google Sans"/>
            <w:color w:val="0000ee"/>
            <w:sz w:val="24"/>
            <w:szCs w:val="24"/>
            <w:u w:val="single"/>
            <w:rtl w:val="0"/>
          </w:rPr>
          <w:t xml:space="preserve">https://www.bloomberg.com/company/stories/how-bloomberg-terminal-ux-designers-conceal-complexity/</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Systems Must Grow and Evolve | by BlackRockEngineering | BlackRock Engineering, accessed March 12, 2026, </w:t>
      </w:r>
      <w:hyperlink r:id="rId9">
        <w:r w:rsidDel="00000000" w:rsidR="00000000" w:rsidRPr="00000000">
          <w:rPr>
            <w:rFonts w:ascii="Google Sans" w:cs="Google Sans" w:eastAsia="Google Sans" w:hAnsi="Google Sans"/>
            <w:color w:val="0000ee"/>
            <w:sz w:val="24"/>
            <w:szCs w:val="24"/>
            <w:u w:val="single"/>
            <w:rtl w:val="0"/>
          </w:rPr>
          <w:t xml:space="preserve">https://engineering.blackrock.com/design-systems-must-grow-and-evolve-b3b8994b1977</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Systems Must Grow and Evolve | by BlackRockEngineering | BlackRock Engineering - Medium, accessed March 12, 2026, </w:t>
      </w:r>
      <w:hyperlink r:id="rId10">
        <w:r w:rsidDel="00000000" w:rsidR="00000000" w:rsidRPr="00000000">
          <w:rPr>
            <w:rFonts w:ascii="Google Sans" w:cs="Google Sans" w:eastAsia="Google Sans" w:hAnsi="Google Sans"/>
            <w:color w:val="0000ee"/>
            <w:sz w:val="24"/>
            <w:szCs w:val="24"/>
            <w:u w:val="single"/>
            <w:rtl w:val="0"/>
          </w:rPr>
          <w:t xml:space="preserve">https://medium.com/blackrock-engineering/design-systems-must-grow-and-evolve-b3b8994b1977</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Never Done Audiocast by Aladdin - Engineering Story - BlackRock, accessed March 12, 2026, </w:t>
      </w:r>
      <w:hyperlink r:id="rId11">
        <w:r w:rsidDel="00000000" w:rsidR="00000000" w:rsidRPr="00000000">
          <w:rPr>
            <w:rFonts w:ascii="Google Sans" w:cs="Google Sans" w:eastAsia="Google Sans" w:hAnsi="Google Sans"/>
            <w:color w:val="0000ee"/>
            <w:sz w:val="24"/>
            <w:szCs w:val="24"/>
            <w:u w:val="single"/>
            <w:rtl w:val="0"/>
          </w:rPr>
          <w:t xml:space="preserve">https://www.blackrock.com/aladdin/engineering-story-audiocast-episode</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Aladdin® Enterprise portfolio management software - BlackRock, accessed March 12, 2026, </w:t>
      </w:r>
      <w:hyperlink r:id="rId12">
        <w:r w:rsidDel="00000000" w:rsidR="00000000" w:rsidRPr="00000000">
          <w:rPr>
            <w:rFonts w:ascii="Google Sans" w:cs="Google Sans" w:eastAsia="Google Sans" w:hAnsi="Google Sans"/>
            <w:color w:val="0000ee"/>
            <w:sz w:val="24"/>
            <w:szCs w:val="24"/>
            <w:u w:val="single"/>
            <w:rtl w:val="0"/>
          </w:rPr>
          <w:t xml:space="preserve">https://www.blackrock.com/aladdin/offerings/aladdin-enterprise</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Snowflake AI Data Cloud, accessed March 12, 2026, </w:t>
      </w:r>
      <w:hyperlink r:id="rId13">
        <w:r w:rsidDel="00000000" w:rsidR="00000000" w:rsidRPr="00000000">
          <w:rPr>
            <w:rFonts w:ascii="Google Sans" w:cs="Google Sans" w:eastAsia="Google Sans" w:hAnsi="Google Sans"/>
            <w:color w:val="0000ee"/>
            <w:sz w:val="24"/>
            <w:szCs w:val="24"/>
            <w:u w:val="single"/>
            <w:rtl w:val="0"/>
          </w:rPr>
          <w:t xml:space="preserve">https://www.snowflake.com/en/</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Aladdin Sustainability: Portfolio &amp; Risk Management Platform - BlackRock, accessed March 12, 2026, </w:t>
      </w:r>
      <w:hyperlink r:id="rId14">
        <w:r w:rsidDel="00000000" w:rsidR="00000000" w:rsidRPr="00000000">
          <w:rPr>
            <w:rFonts w:ascii="Google Sans" w:cs="Google Sans" w:eastAsia="Google Sans" w:hAnsi="Google Sans"/>
            <w:color w:val="0000ee"/>
            <w:sz w:val="24"/>
            <w:szCs w:val="24"/>
            <w:u w:val="single"/>
            <w:rtl w:val="0"/>
          </w:rPr>
          <w:t xml:space="preserve">https://www.blackrock.com/aladdin/products/aladdin-sustainability</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Blackrock Color Palette, accessed March 12, 2026, </w:t>
      </w:r>
      <w:hyperlink r:id="rId15">
        <w:r w:rsidDel="00000000" w:rsidR="00000000" w:rsidRPr="00000000">
          <w:rPr>
            <w:rFonts w:ascii="Google Sans" w:cs="Google Sans" w:eastAsia="Google Sans" w:hAnsi="Google Sans"/>
            <w:color w:val="0000ee"/>
            <w:sz w:val="24"/>
            <w:szCs w:val="24"/>
            <w:u w:val="single"/>
            <w:rtl w:val="0"/>
          </w:rPr>
          <w:t xml:space="preserve">https://www.color-hex.com/color-palette/8035</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Story Final - Ceros, accessed March 12, 2026, </w:t>
      </w:r>
      <w:hyperlink r:id="rId16">
        <w:r w:rsidDel="00000000" w:rsidR="00000000" w:rsidRPr="00000000">
          <w:rPr>
            <w:rFonts w:ascii="Google Sans" w:cs="Google Sans" w:eastAsia="Google Sans" w:hAnsi="Google Sans"/>
            <w:color w:val="0000ee"/>
            <w:sz w:val="24"/>
            <w:szCs w:val="24"/>
            <w:u w:val="single"/>
            <w:rtl w:val="0"/>
          </w:rPr>
          <w:t xml:space="preserve">https://view.ceros.com/goldman-sachs/color-story-iv-2-1-2</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Goldman Sachs Logo Color Scheme - Palettes - SchemeColor.com, accessed March 12, 2026, </w:t>
      </w:r>
      <w:hyperlink r:id="rId17">
        <w:r w:rsidDel="00000000" w:rsidR="00000000" w:rsidRPr="00000000">
          <w:rPr>
            <w:rFonts w:ascii="Google Sans" w:cs="Google Sans" w:eastAsia="Google Sans" w:hAnsi="Google Sans"/>
            <w:color w:val="0000ee"/>
            <w:sz w:val="24"/>
            <w:szCs w:val="24"/>
            <w:u w:val="single"/>
            <w:rtl w:val="0"/>
          </w:rPr>
          <w:t xml:space="preserve">https://www.schemecolor.com/goldman-sachs-logo-color.php</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Goldman Sachs International Bank Brand Color Palette: Hex, RGB, CMYK and UIs - Mobbin, accessed March 12, 2026, </w:t>
      </w:r>
      <w:hyperlink r:id="rId18">
        <w:r w:rsidDel="00000000" w:rsidR="00000000" w:rsidRPr="00000000">
          <w:rPr>
            <w:rFonts w:ascii="Google Sans" w:cs="Google Sans" w:eastAsia="Google Sans" w:hAnsi="Google Sans"/>
            <w:color w:val="0000ee"/>
            <w:sz w:val="24"/>
            <w:szCs w:val="24"/>
            <w:u w:val="single"/>
            <w:rtl w:val="0"/>
          </w:rPr>
          <w:t xml:space="preserve">https://mobbin.com/colors/brand/goldman-sachs-international-bank</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Goldman Sachs Brand Guidelines, Logos, Colors, Fonts - Brandy, accessed March 12, 2026, </w:t>
      </w:r>
      <w:hyperlink r:id="rId19">
        <w:r w:rsidDel="00000000" w:rsidR="00000000" w:rsidRPr="00000000">
          <w:rPr>
            <w:rFonts w:ascii="Google Sans" w:cs="Google Sans" w:eastAsia="Google Sans" w:hAnsi="Google Sans"/>
            <w:color w:val="0000ee"/>
            <w:sz w:val="24"/>
            <w:szCs w:val="24"/>
            <w:u w:val="single"/>
            <w:rtl w:val="0"/>
          </w:rPr>
          <w:t xml:space="preserve">https://brandyhq.com/brand-guidelines/goldman-sachs/</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Morgan Stanley | kijoo's work - heykijoo, accessed March 12, 2026, </w:t>
      </w:r>
      <w:hyperlink r:id="rId20">
        <w:r w:rsidDel="00000000" w:rsidR="00000000" w:rsidRPr="00000000">
          <w:rPr>
            <w:rFonts w:ascii="Google Sans" w:cs="Google Sans" w:eastAsia="Google Sans" w:hAnsi="Google Sans"/>
            <w:color w:val="0000ee"/>
            <w:sz w:val="24"/>
            <w:szCs w:val="24"/>
            <w:u w:val="single"/>
            <w:rtl w:val="0"/>
          </w:rPr>
          <w:t xml:space="preserve">https://www.heykijoo.com/work/morgan-stanley</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Typography - Salt Design System, accessed March 12, 2026, </w:t>
      </w:r>
      <w:hyperlink r:id="rId21">
        <w:r w:rsidDel="00000000" w:rsidR="00000000" w:rsidRPr="00000000">
          <w:rPr>
            <w:rFonts w:ascii="Google Sans" w:cs="Google Sans" w:eastAsia="Google Sans" w:hAnsi="Google Sans"/>
            <w:color w:val="0000ee"/>
            <w:sz w:val="24"/>
            <w:szCs w:val="24"/>
            <w:u w:val="single"/>
            <w:rtl w:val="0"/>
          </w:rPr>
          <w:t xml:space="preserve">https://www.saltdesignsystem.com/salt/foundations/typography</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Themes - Salt Design System, accessed March 12, 2026, </w:t>
      </w:r>
      <w:hyperlink r:id="rId22">
        <w:r w:rsidDel="00000000" w:rsidR="00000000" w:rsidRPr="00000000">
          <w:rPr>
            <w:rFonts w:ascii="Google Sans" w:cs="Google Sans" w:eastAsia="Google Sans" w:hAnsi="Google Sans"/>
            <w:color w:val="0000ee"/>
            <w:sz w:val="24"/>
            <w:szCs w:val="24"/>
            <w:u w:val="single"/>
            <w:rtl w:val="0"/>
          </w:rPr>
          <w:t xml:space="preserve">https://www.saltdesignsystem.com/salt/themes</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Spotlight on dark mode | CIEHF, accessed March 12, 2026, </w:t>
      </w:r>
      <w:hyperlink r:id="rId23">
        <w:r w:rsidDel="00000000" w:rsidR="00000000" w:rsidRPr="00000000">
          <w:rPr>
            <w:rFonts w:ascii="Google Sans" w:cs="Google Sans" w:eastAsia="Google Sans" w:hAnsi="Google Sans"/>
            <w:color w:val="0000ee"/>
            <w:sz w:val="24"/>
            <w:szCs w:val="24"/>
            <w:u w:val="single"/>
            <w:rtl w:val="0"/>
          </w:rPr>
          <w:t xml:space="preserve">https://ergonomics.org.uk/resource/spotlight-on-dark-mode.html</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Dark Mode on Software Development: An Empirical Study on Developer Well-being and Productivity - ijemh, accessed March 12, 2026, </w:t>
      </w:r>
      <w:hyperlink r:id="rId24">
        <w:r w:rsidDel="00000000" w:rsidR="00000000" w:rsidRPr="00000000">
          <w:rPr>
            <w:rFonts w:ascii="Google Sans" w:cs="Google Sans" w:eastAsia="Google Sans" w:hAnsi="Google Sans"/>
            <w:color w:val="0000ee"/>
            <w:sz w:val="24"/>
            <w:szCs w:val="24"/>
            <w:u w:val="single"/>
            <w:rtl w:val="0"/>
          </w:rPr>
          <w:t xml:space="preserve">https://ijemh.com/issue_dcp/Impact%20of%20Dark%20Mode%20on%20Software%20Development%20An%20Empirical%20Study%20on%20%20Developer%20Well%20being%20and%20Productivity.pdf</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Themes for Comfortable Intraday Trading and Scalping - JustMarkets, accessed March 12, 2026, </w:t>
      </w:r>
      <w:hyperlink r:id="rId25">
        <w:r w:rsidDel="00000000" w:rsidR="00000000" w:rsidRPr="00000000">
          <w:rPr>
            <w:rFonts w:ascii="Google Sans" w:cs="Google Sans" w:eastAsia="Google Sans" w:hAnsi="Google Sans"/>
            <w:color w:val="0000ee"/>
            <w:sz w:val="24"/>
            <w:szCs w:val="24"/>
            <w:u w:val="single"/>
            <w:rtl w:val="0"/>
          </w:rPr>
          <w:t xml:space="preserve">https://justmarkets.com/trading-articles/learning/color-themes-for-comfortable-intraday-trading-and-scalping</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vs. Light Mode on Smartphones: Effects on Eye Fatigue - UPV, accessed March 12, 2026, </w:t>
      </w:r>
      <w:hyperlink r:id="rId26">
        <w:r w:rsidDel="00000000" w:rsidR="00000000" w:rsidRPr="00000000">
          <w:rPr>
            <w:rFonts w:ascii="Google Sans" w:cs="Google Sans" w:eastAsia="Google Sans" w:hAnsi="Google Sans"/>
            <w:color w:val="0000ee"/>
            <w:sz w:val="24"/>
            <w:szCs w:val="24"/>
            <w:u w:val="single"/>
            <w:rtl w:val="0"/>
          </w:rPr>
          <w:t xml:space="preserve">https://personales.upv.es/thinkmind/dl/conferences/achi/achi_2024/achi_2024_3_150_20069.pdf</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Dark Mode Website Color Palette Ideas - Vev.design, accessed March 12, 2026, </w:t>
      </w:r>
      <w:hyperlink r:id="rId27">
        <w:r w:rsidDel="00000000" w:rsidR="00000000" w:rsidRPr="00000000">
          <w:rPr>
            <w:rFonts w:ascii="Google Sans" w:cs="Google Sans" w:eastAsia="Google Sans" w:hAnsi="Google Sans"/>
            <w:color w:val="0000ee"/>
            <w:sz w:val="24"/>
            <w:szCs w:val="24"/>
            <w:u w:val="single"/>
            <w:rtl w:val="0"/>
          </w:rPr>
          <w:t xml:space="preserve">https://www.vev.design/blog/dark-mode-website-color-palette/</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screen light filtering software on cognitive performance and sleep among night workers - PMC, accessed March 12, 2026,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https://pmc.ncbi.nlm.nih.gov/articles/PMC6717920/</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Admin Dashboard Color Schemes: A Developer's Guide - AdminLTE, accessed March 12, 2026, </w:t>
      </w:r>
      <w:hyperlink r:id="rId29">
        <w:r w:rsidDel="00000000" w:rsidR="00000000" w:rsidRPr="00000000">
          <w:rPr>
            <w:rFonts w:ascii="Google Sans" w:cs="Google Sans" w:eastAsia="Google Sans" w:hAnsi="Google Sans"/>
            <w:color w:val="0000ee"/>
            <w:sz w:val="24"/>
            <w:szCs w:val="24"/>
            <w:u w:val="single"/>
            <w:rtl w:val="0"/>
          </w:rPr>
          <w:t xml:space="preserve">https://adminlte.io/blog/best-admin-dashboard-color-schemes/</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colors combinations and font for less eye strain and fatigue : r/medicalschoolanki, accessed March 12, 2026, </w:t>
      </w:r>
      <w:hyperlink r:id="rId30">
        <w:r w:rsidDel="00000000" w:rsidR="00000000" w:rsidRPr="00000000">
          <w:rPr>
            <w:rFonts w:ascii="Google Sans" w:cs="Google Sans" w:eastAsia="Google Sans" w:hAnsi="Google Sans"/>
            <w:color w:val="0000ee"/>
            <w:sz w:val="24"/>
            <w:szCs w:val="24"/>
            <w:u w:val="single"/>
            <w:rtl w:val="0"/>
          </w:rPr>
          <w:t xml:space="preserve">https://www.reddit.com/r/medicalschoolanki/comments/e6yyuf/best_colors_combinations_and_font_for_less_eye/</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 fonts for UI (accounting and finance software) : r/typography - Reddit, accessed March 12, 2026, </w:t>
      </w:r>
      <w:hyperlink r:id="rId31">
        <w:r w:rsidDel="00000000" w:rsidR="00000000" w:rsidRPr="00000000">
          <w:rPr>
            <w:rFonts w:ascii="Google Sans" w:cs="Google Sans" w:eastAsia="Google Sans" w:hAnsi="Google Sans"/>
            <w:color w:val="0000ee"/>
            <w:sz w:val="24"/>
            <w:szCs w:val="24"/>
            <w:u w:val="single"/>
            <w:rtl w:val="0"/>
          </w:rPr>
          <w:t xml:space="preserve">https://www.reddit.com/r/typography/comments/13poj2u/good_fonts_for_ui_accounting_and_finance_software/</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Monospaced font for numbers : r/MonarchMoney - Reddit, accessed March 12, 2026, </w:t>
      </w:r>
      <w:hyperlink r:id="rId32">
        <w:r w:rsidDel="00000000" w:rsidR="00000000" w:rsidRPr="00000000">
          <w:rPr>
            <w:rFonts w:ascii="Google Sans" w:cs="Google Sans" w:eastAsia="Google Sans" w:hAnsi="Google Sans"/>
            <w:color w:val="0000ee"/>
            <w:sz w:val="24"/>
            <w:szCs w:val="24"/>
            <w:u w:val="single"/>
            <w:rtl w:val="0"/>
          </w:rPr>
          <w:t xml:space="preserve">https://www.reddit.com/r/MonarchMoney/comments/1ojdp9t/monospaced_font_for_numbers/</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anyone else very picky about which monospace font(s) you use? : r/commandline - Reddit, accessed March 12, 2026, </w:t>
      </w:r>
      <w:hyperlink r:id="rId33">
        <w:r w:rsidDel="00000000" w:rsidR="00000000" w:rsidRPr="00000000">
          <w:rPr>
            <w:rFonts w:ascii="Google Sans" w:cs="Google Sans" w:eastAsia="Google Sans" w:hAnsi="Google Sans"/>
            <w:color w:val="0000ee"/>
            <w:sz w:val="24"/>
            <w:szCs w:val="24"/>
            <w:u w:val="single"/>
            <w:rtl w:val="0"/>
          </w:rPr>
          <w:t xml:space="preserve">https://www.reddit.com/r/commandline/comments/1itjb1y/is_anyone_else_very_picky_about_which_monospace/</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anyone else very picky about which monospace font(s) you use? - Reddit, accessed March 12, 2026, </w:t>
      </w:r>
      <w:hyperlink r:id="rId34">
        <w:r w:rsidDel="00000000" w:rsidR="00000000" w:rsidRPr="00000000">
          <w:rPr>
            <w:rFonts w:ascii="Google Sans" w:cs="Google Sans" w:eastAsia="Google Sans" w:hAnsi="Google Sans"/>
            <w:color w:val="0000ee"/>
            <w:sz w:val="24"/>
            <w:szCs w:val="24"/>
            <w:u w:val="single"/>
            <w:rtl w:val="0"/>
          </w:rPr>
          <w:t xml:space="preserve">https://www.reddit.com/r/vim/comments/1itjglg/is_anyone_else_very_picky_about_which_monospace/</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web-typography | Skills Marketplace · LobeHub, accessed March 12, 2026, </w:t>
      </w:r>
      <w:hyperlink r:id="rId35">
        <w:r w:rsidDel="00000000" w:rsidR="00000000" w:rsidRPr="00000000">
          <w:rPr>
            <w:rFonts w:ascii="Google Sans" w:cs="Google Sans" w:eastAsia="Google Sans" w:hAnsi="Google Sans"/>
            <w:color w:val="0000ee"/>
            <w:sz w:val="24"/>
            <w:szCs w:val="24"/>
            <w:u w:val="single"/>
            <w:rtl w:val="0"/>
          </w:rPr>
          <w:t xml:space="preserve">https://lobehub.com/en/skills/hiimdrew-manus-homepage-skills-web-typography</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Fonts Every UX Designer Should Know | by Shadakin Islam Sumon | Medium, accessed March 12, 2026, </w:t>
      </w:r>
      <w:hyperlink r:id="rId36">
        <w:r w:rsidDel="00000000" w:rsidR="00000000" w:rsidRPr="00000000">
          <w:rPr>
            <w:rFonts w:ascii="Google Sans" w:cs="Google Sans" w:eastAsia="Google Sans" w:hAnsi="Google Sans"/>
            <w:color w:val="0000ee"/>
            <w:sz w:val="24"/>
            <w:szCs w:val="24"/>
            <w:u w:val="single"/>
            <w:rtl w:val="0"/>
          </w:rPr>
          <w:t xml:space="preserve">https://medium.com/@sumonshadakin/10-best-fonts-every-ux-designer-should-know-ca82e54b6b65</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Perfect Font Pairings + Matching Illustrations | GetIllustrations, accessed March 12, 2026, </w:t>
      </w:r>
      <w:hyperlink r:id="rId37">
        <w:r w:rsidDel="00000000" w:rsidR="00000000" w:rsidRPr="00000000">
          <w:rPr>
            <w:rFonts w:ascii="Google Sans" w:cs="Google Sans" w:eastAsia="Google Sans" w:hAnsi="Google Sans"/>
            <w:color w:val="0000ee"/>
            <w:sz w:val="24"/>
            <w:szCs w:val="24"/>
            <w:u w:val="single"/>
            <w:rtl w:val="0"/>
          </w:rPr>
          <w:t xml:space="preserve">https://getillustrations.com/tools/font-pairing</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Finding the Best Font Ever: 11 Picks Readable on Any Screen - FontsArena, accessed March 12, 2026, </w:t>
      </w:r>
      <w:hyperlink r:id="rId38">
        <w:r w:rsidDel="00000000" w:rsidR="00000000" w:rsidRPr="00000000">
          <w:rPr>
            <w:rFonts w:ascii="Google Sans" w:cs="Google Sans" w:eastAsia="Google Sans" w:hAnsi="Google Sans"/>
            <w:color w:val="0000ee"/>
            <w:sz w:val="24"/>
            <w:szCs w:val="24"/>
            <w:u w:val="single"/>
            <w:rtl w:val="0"/>
          </w:rPr>
          <w:t xml:space="preserve">https://fontsarena.com/blog/finding-the-best-font-ever-11-picks-readable-on-any-screen/</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Fonts for Web Design in 2025: Trends and Practical Picks - Shakuro, accessed March 12, 2026, </w:t>
      </w:r>
      <w:hyperlink r:id="rId39">
        <w:r w:rsidDel="00000000" w:rsidR="00000000" w:rsidRPr="00000000">
          <w:rPr>
            <w:rFonts w:ascii="Google Sans" w:cs="Google Sans" w:eastAsia="Google Sans" w:hAnsi="Google Sans"/>
            <w:color w:val="0000ee"/>
            <w:sz w:val="24"/>
            <w:szCs w:val="24"/>
            <w:u w:val="single"/>
            <w:rtl w:val="0"/>
          </w:rPr>
          <w:t xml:space="preserve">https://shakuro.com/blog/best-fonts-for-web-design</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Figma Fonts in 2026 for UI/UX designs - Mockuuups Studio, accessed March 12, 2026, </w:t>
      </w:r>
      <w:hyperlink r:id="rId40">
        <w:r w:rsidDel="00000000" w:rsidR="00000000" w:rsidRPr="00000000">
          <w:rPr>
            <w:rFonts w:ascii="Google Sans" w:cs="Google Sans" w:eastAsia="Google Sans" w:hAnsi="Google Sans"/>
            <w:color w:val="0000ee"/>
            <w:sz w:val="24"/>
            <w:szCs w:val="24"/>
            <w:u w:val="single"/>
            <w:rtl w:val="0"/>
          </w:rPr>
          <w:t xml:space="preserve">https://mockuuups.studio/blog/post/best-figma-fonts/</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Typeface Categories - Lapa Ninja, accessed March 12, 2026, </w:t>
      </w:r>
      <w:hyperlink r:id="rId41">
        <w:r w:rsidDel="00000000" w:rsidR="00000000" w:rsidRPr="00000000">
          <w:rPr>
            <w:rFonts w:ascii="Google Sans" w:cs="Google Sans" w:eastAsia="Google Sans" w:hAnsi="Google Sans"/>
            <w:color w:val="0000ee"/>
            <w:sz w:val="24"/>
            <w:szCs w:val="24"/>
            <w:u w:val="single"/>
            <w:rtl w:val="0"/>
          </w:rPr>
          <w:t xml:space="preserve">https://www.lapa.ninja/typeface/</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Maximize Your Marketing:Typography Tips for Marketing Professionals in Finance, accessed March 12, 2026, </w:t>
      </w:r>
      <w:hyperlink r:id="rId42">
        <w:r w:rsidDel="00000000" w:rsidR="00000000" w:rsidRPr="00000000">
          <w:rPr>
            <w:rFonts w:ascii="Google Sans" w:cs="Google Sans" w:eastAsia="Google Sans" w:hAnsi="Google Sans"/>
            <w:color w:val="0000ee"/>
            <w:sz w:val="24"/>
            <w:szCs w:val="24"/>
            <w:u w:val="single"/>
            <w:rtl w:val="0"/>
          </w:rPr>
          <w:t xml:space="preserve">https://chartwellagency.com/typography-tips-for-financial-marketing/</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Typography Trends 2025: Styles, Fonts, and Design Inspiration - Cueball Creatives, accessed March 12, 2026, </w:t>
      </w:r>
      <w:hyperlink r:id="rId43">
        <w:r w:rsidDel="00000000" w:rsidR="00000000" w:rsidRPr="00000000">
          <w:rPr>
            <w:rFonts w:ascii="Google Sans" w:cs="Google Sans" w:eastAsia="Google Sans" w:hAnsi="Google Sans"/>
            <w:color w:val="0000ee"/>
            <w:sz w:val="24"/>
            <w:szCs w:val="24"/>
            <w:u w:val="single"/>
            <w:rtl w:val="0"/>
          </w:rPr>
          <w:t xml:space="preserve">https://www.cueballcreatives.com/blog/typography-trends-2025-styles-fonts-and-design-inspiration</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 - Salt Design System, accessed March 12, 2026, </w:t>
      </w:r>
      <w:hyperlink r:id="rId44">
        <w:r w:rsidDel="00000000" w:rsidR="00000000" w:rsidRPr="00000000">
          <w:rPr>
            <w:rFonts w:ascii="Google Sans" w:cs="Google Sans" w:eastAsia="Google Sans" w:hAnsi="Google Sans"/>
            <w:color w:val="0000ee"/>
            <w:sz w:val="24"/>
            <w:szCs w:val="24"/>
            <w:u w:val="single"/>
            <w:rtl w:val="0"/>
          </w:rPr>
          <w:t xml:space="preserve">https://www.saltdesignsystem.com/salt/components/text</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Dashboard Color Scheme for Analytics - insightsoftware, accessed March 12, 2026, </w:t>
      </w:r>
      <w:hyperlink r:id="rId45">
        <w:r w:rsidDel="00000000" w:rsidR="00000000" w:rsidRPr="00000000">
          <w:rPr>
            <w:rFonts w:ascii="Google Sans" w:cs="Google Sans" w:eastAsia="Google Sans" w:hAnsi="Google Sans"/>
            <w:color w:val="0000ee"/>
            <w:sz w:val="24"/>
            <w:szCs w:val="24"/>
            <w:u w:val="single"/>
            <w:rtl w:val="0"/>
          </w:rPr>
          <w:t xml:space="preserve">https://insightsoftware.com/blog/effective-color-schemes-for-analytics-dashboards/</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Key Data Visualization Best Practices for 2025 - Querio, accessed March 12, 2026, </w:t>
      </w:r>
      <w:hyperlink r:id="rId46">
        <w:r w:rsidDel="00000000" w:rsidR="00000000" w:rsidRPr="00000000">
          <w:rPr>
            <w:rFonts w:ascii="Google Sans" w:cs="Google Sans" w:eastAsia="Google Sans" w:hAnsi="Google Sans"/>
            <w:color w:val="0000ee"/>
            <w:sz w:val="24"/>
            <w:szCs w:val="24"/>
            <w:u w:val="single"/>
            <w:rtl w:val="0"/>
          </w:rPr>
          <w:t xml:space="preserve">https://querio.ai/blogs/data-visualization-best-practices</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Color Palettes for Financial Dashboards - Phoenix Strategy Group, accessed March 12, 2026, </w:t>
      </w:r>
      <w:hyperlink r:id="rId47">
        <w:r w:rsidDel="00000000" w:rsidR="00000000" w:rsidRPr="00000000">
          <w:rPr>
            <w:rFonts w:ascii="Google Sans" w:cs="Google Sans" w:eastAsia="Google Sans" w:hAnsi="Google Sans"/>
            <w:color w:val="0000ee"/>
            <w:sz w:val="24"/>
            <w:szCs w:val="24"/>
            <w:u w:val="single"/>
            <w:rtl w:val="0"/>
          </w:rPr>
          <w:t xml:space="preserve">https://www.phoenixstrategy.group/blog/best-color-palettes-for-financial-dashboards</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Viz Color Selection Guide | Atlassian, accessed March 12, 2026, </w:t>
      </w:r>
      <w:hyperlink r:id="rId48">
        <w:r w:rsidDel="00000000" w:rsidR="00000000" w:rsidRPr="00000000">
          <w:rPr>
            <w:rFonts w:ascii="Google Sans" w:cs="Google Sans" w:eastAsia="Google Sans" w:hAnsi="Google Sans"/>
            <w:color w:val="0000ee"/>
            <w:sz w:val="24"/>
            <w:szCs w:val="24"/>
            <w:u w:val="single"/>
            <w:rtl w:val="0"/>
          </w:rPr>
          <w:t xml:space="preserve">https://www.atlassian.com/data/charts/how-to-choose-colors-data-visualization</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Choose the Best Colors for Data Visualization in 2026 - Julius AI, accessed March 12, 2026, </w:t>
      </w:r>
      <w:hyperlink r:id="rId49">
        <w:r w:rsidDel="00000000" w:rsidR="00000000" w:rsidRPr="00000000">
          <w:rPr>
            <w:rFonts w:ascii="Google Sans" w:cs="Google Sans" w:eastAsia="Google Sans" w:hAnsi="Google Sans"/>
            <w:color w:val="0000ee"/>
            <w:sz w:val="24"/>
            <w:szCs w:val="24"/>
            <w:u w:val="single"/>
            <w:rtl w:val="0"/>
          </w:rPr>
          <w:t xml:space="preserve">https://julius.ai/articles/best-colors-for-data-visualization</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 thousands of Bloomberg Terminal images for design inspiration | Dribbble, accessed March 12, 2026, </w:t>
      </w:r>
      <w:hyperlink r:id="rId50">
        <w:r w:rsidDel="00000000" w:rsidR="00000000" w:rsidRPr="00000000">
          <w:rPr>
            <w:rFonts w:ascii="Google Sans" w:cs="Google Sans" w:eastAsia="Google Sans" w:hAnsi="Google Sans"/>
            <w:color w:val="0000ee"/>
            <w:sz w:val="24"/>
            <w:szCs w:val="24"/>
            <w:u w:val="single"/>
            <w:rtl w:val="0"/>
          </w:rPr>
          <w:t xml:space="preserve">https://dribbble.com/search/bloomberg-terminal</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Charts and Accessibility | Morgan Stanley, accessed March 12, 2026, </w:t>
      </w:r>
      <w:hyperlink r:id="rId51">
        <w:r w:rsidDel="00000000" w:rsidR="00000000" w:rsidRPr="00000000">
          <w:rPr>
            <w:rFonts w:ascii="Google Sans" w:cs="Google Sans" w:eastAsia="Google Sans" w:hAnsi="Google Sans"/>
            <w:color w:val="0000ee"/>
            <w:sz w:val="24"/>
            <w:szCs w:val="24"/>
            <w:u w:val="single"/>
            <w:rtl w:val="0"/>
          </w:rPr>
          <w:t xml:space="preserve">https://www.morganstanley.com/content/dam/msdotcom/en/assets/pdfs/FWUXDS_ColorChartsandAccessibility.pdf</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the Terminal for Color Accessibility | Bloomberg LP, accessed March 12, 2026, </w:t>
      </w:r>
      <w:hyperlink r:id="rId52">
        <w:r w:rsidDel="00000000" w:rsidR="00000000" w:rsidRPr="00000000">
          <w:rPr>
            <w:rFonts w:ascii="Google Sans" w:cs="Google Sans" w:eastAsia="Google Sans" w:hAnsi="Google Sans"/>
            <w:color w:val="0000ee"/>
            <w:sz w:val="24"/>
            <w:szCs w:val="24"/>
            <w:u w:val="single"/>
            <w:rtl w:val="0"/>
          </w:rPr>
          <w:t xml:space="preserve">https://www.bloomberg.com/company/stories/designing-the-terminal-for-color-accessibility/</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Relaxing Easy on Eyes Dark Mode Color Palette, accessed March 12, 2026, </w:t>
      </w:r>
      <w:hyperlink r:id="rId53">
        <w:r w:rsidDel="00000000" w:rsidR="00000000" w:rsidRPr="00000000">
          <w:rPr>
            <w:rFonts w:ascii="Google Sans" w:cs="Google Sans" w:eastAsia="Google Sans" w:hAnsi="Google Sans"/>
            <w:color w:val="0000ee"/>
            <w:sz w:val="24"/>
            <w:szCs w:val="24"/>
            <w:u w:val="single"/>
            <w:rtl w:val="0"/>
          </w:rPr>
          <w:t xml:space="preserve">https://www.color-hex.com/color-palette/1043808</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Blackrock: Agentic AI Architecture for Investment Management Platform - ZenML LLMOps Database, accessed March 12, 2026, </w:t>
      </w:r>
      <w:hyperlink r:id="rId54">
        <w:r w:rsidDel="00000000" w:rsidR="00000000" w:rsidRPr="00000000">
          <w:rPr>
            <w:rFonts w:ascii="Google Sans" w:cs="Google Sans" w:eastAsia="Google Sans" w:hAnsi="Google Sans"/>
            <w:color w:val="0000ee"/>
            <w:sz w:val="24"/>
            <w:szCs w:val="24"/>
            <w:u w:val="single"/>
            <w:rtl w:val="0"/>
          </w:rPr>
          <w:t xml:space="preserve">https://www.zenml.io/llmops-database/agentic-ai-architecture-for-investment-management-platform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ockuuups.studio/blog/post/best-figma-fonts/" TargetMode="External"/><Relationship Id="rId42" Type="http://schemas.openxmlformats.org/officeDocument/2006/relationships/hyperlink" Target="https://chartwellagency.com/typography-tips-for-financial-marketing/" TargetMode="External"/><Relationship Id="rId41" Type="http://schemas.openxmlformats.org/officeDocument/2006/relationships/hyperlink" Target="https://www.lapa.ninja/typeface/" TargetMode="External"/><Relationship Id="rId44" Type="http://schemas.openxmlformats.org/officeDocument/2006/relationships/hyperlink" Target="https://www.saltdesignsystem.com/salt/components/text" TargetMode="External"/><Relationship Id="rId43" Type="http://schemas.openxmlformats.org/officeDocument/2006/relationships/hyperlink" Target="https://www.cueballcreatives.com/blog/typography-trends-2025-styles-fonts-and-design-inspiration" TargetMode="External"/><Relationship Id="rId46" Type="http://schemas.openxmlformats.org/officeDocument/2006/relationships/hyperlink" Target="https://querio.ai/blogs/data-visualization-best-practices" TargetMode="External"/><Relationship Id="rId45" Type="http://schemas.openxmlformats.org/officeDocument/2006/relationships/hyperlink" Target="https://insightsoftware.com/blog/effective-color-schemes-for-analytics-dashboar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gineering.blackrock.com/design-systems-must-grow-and-evolve-b3b8994b1977" TargetMode="External"/><Relationship Id="rId48" Type="http://schemas.openxmlformats.org/officeDocument/2006/relationships/hyperlink" Target="https://www.atlassian.com/data/charts/how-to-choose-colors-data-visualization" TargetMode="External"/><Relationship Id="rId47" Type="http://schemas.openxmlformats.org/officeDocument/2006/relationships/hyperlink" Target="https://www.phoenixstrategy.group/blog/best-color-palettes-for-financial-dashboards" TargetMode="External"/><Relationship Id="rId49" Type="http://schemas.openxmlformats.org/officeDocument/2006/relationships/hyperlink" Target="https://julius.ai/articles/best-colors-for-data-visualization" TargetMode="External"/><Relationship Id="rId5" Type="http://schemas.openxmlformats.org/officeDocument/2006/relationships/styles" Target="styles.xml"/><Relationship Id="rId6" Type="http://schemas.openxmlformats.org/officeDocument/2006/relationships/hyperlink" Target="https://www.bloomberg.com/company/stories/bloombergs-customer-centric-design-ethos/" TargetMode="External"/><Relationship Id="rId7" Type="http://schemas.openxmlformats.org/officeDocument/2006/relationships/hyperlink" Target="https://mobbin.com/colors/brand/bloomberg" TargetMode="External"/><Relationship Id="rId8" Type="http://schemas.openxmlformats.org/officeDocument/2006/relationships/hyperlink" Target="https://www.bloomberg.com/company/stories/how-bloomberg-terminal-ux-designers-conceal-complexity/" TargetMode="External"/><Relationship Id="rId31" Type="http://schemas.openxmlformats.org/officeDocument/2006/relationships/hyperlink" Target="https://www.reddit.com/r/typography/comments/13poj2u/good_fonts_for_ui_accounting_and_finance_software/" TargetMode="External"/><Relationship Id="rId30" Type="http://schemas.openxmlformats.org/officeDocument/2006/relationships/hyperlink" Target="https://www.reddit.com/r/medicalschoolanki/comments/e6yyuf/best_colors_combinations_and_font_for_less_eye/" TargetMode="External"/><Relationship Id="rId33" Type="http://schemas.openxmlformats.org/officeDocument/2006/relationships/hyperlink" Target="https://www.reddit.com/r/commandline/comments/1itjb1y/is_anyone_else_very_picky_about_which_monospace/" TargetMode="External"/><Relationship Id="rId32" Type="http://schemas.openxmlformats.org/officeDocument/2006/relationships/hyperlink" Target="https://www.reddit.com/r/MonarchMoney/comments/1ojdp9t/monospaced_font_for_numbers/" TargetMode="External"/><Relationship Id="rId35" Type="http://schemas.openxmlformats.org/officeDocument/2006/relationships/hyperlink" Target="https://lobehub.com/en/skills/hiimdrew-manus-homepage-skills-web-typography" TargetMode="External"/><Relationship Id="rId34" Type="http://schemas.openxmlformats.org/officeDocument/2006/relationships/hyperlink" Target="https://www.reddit.com/r/vim/comments/1itjglg/is_anyone_else_very_picky_about_which_monospace/" TargetMode="External"/><Relationship Id="rId37" Type="http://schemas.openxmlformats.org/officeDocument/2006/relationships/hyperlink" Target="https://getillustrations.com/tools/font-pairing" TargetMode="External"/><Relationship Id="rId36" Type="http://schemas.openxmlformats.org/officeDocument/2006/relationships/hyperlink" Target="https://medium.com/@sumonshadakin/10-best-fonts-every-ux-designer-should-know-ca82e54b6b65" TargetMode="External"/><Relationship Id="rId39" Type="http://schemas.openxmlformats.org/officeDocument/2006/relationships/hyperlink" Target="https://shakuro.com/blog/best-fonts-for-web-design" TargetMode="External"/><Relationship Id="rId38" Type="http://schemas.openxmlformats.org/officeDocument/2006/relationships/hyperlink" Target="https://fontsarena.com/blog/finding-the-best-font-ever-11-picks-readable-on-any-screen/" TargetMode="External"/><Relationship Id="rId20" Type="http://schemas.openxmlformats.org/officeDocument/2006/relationships/hyperlink" Target="https://www.heykijoo.com/work/morgan-stanley" TargetMode="External"/><Relationship Id="rId22" Type="http://schemas.openxmlformats.org/officeDocument/2006/relationships/hyperlink" Target="https://www.saltdesignsystem.com/salt/themes" TargetMode="External"/><Relationship Id="rId21" Type="http://schemas.openxmlformats.org/officeDocument/2006/relationships/hyperlink" Target="https://www.saltdesignsystem.com/salt/foundations/typography" TargetMode="External"/><Relationship Id="rId24" Type="http://schemas.openxmlformats.org/officeDocument/2006/relationships/hyperlink" Target="https://ijemh.com/issue_dcp/Impact%20of%20Dark%20Mode%20on%20Software%20Development%20An%20Empirical%20Study%20on%20%20Developer%20Well%20being%20and%20Productivity.pdf" TargetMode="External"/><Relationship Id="rId23" Type="http://schemas.openxmlformats.org/officeDocument/2006/relationships/hyperlink" Target="https://ergonomics.org.uk/resource/spotlight-on-dark-mode.html" TargetMode="External"/><Relationship Id="rId26" Type="http://schemas.openxmlformats.org/officeDocument/2006/relationships/hyperlink" Target="https://personales.upv.es/thinkmind/dl/conferences/achi/achi_2024/achi_2024_3_150_20069.pdf" TargetMode="External"/><Relationship Id="rId25" Type="http://schemas.openxmlformats.org/officeDocument/2006/relationships/hyperlink" Target="https://justmarkets.com/trading-articles/learning/color-themes-for-comfortable-intraday-trading-and-scalping" TargetMode="External"/><Relationship Id="rId28" Type="http://schemas.openxmlformats.org/officeDocument/2006/relationships/hyperlink" Target="https://pmc.ncbi.nlm.nih.gov/articles/PMC6717920/" TargetMode="External"/><Relationship Id="rId27" Type="http://schemas.openxmlformats.org/officeDocument/2006/relationships/hyperlink" Target="https://www.vev.design/blog/dark-mode-website-color-palette/" TargetMode="External"/><Relationship Id="rId29" Type="http://schemas.openxmlformats.org/officeDocument/2006/relationships/hyperlink" Target="https://adminlte.io/blog/best-admin-dashboard-color-schemes/" TargetMode="External"/><Relationship Id="rId51" Type="http://schemas.openxmlformats.org/officeDocument/2006/relationships/hyperlink" Target="https://www.morganstanley.com/content/dam/msdotcom/en/assets/pdfs/FWUXDS_ColorChartsandAccessibility.pdf" TargetMode="External"/><Relationship Id="rId50" Type="http://schemas.openxmlformats.org/officeDocument/2006/relationships/hyperlink" Target="https://dribbble.com/search/bloomberg-terminal" TargetMode="External"/><Relationship Id="rId53" Type="http://schemas.openxmlformats.org/officeDocument/2006/relationships/hyperlink" Target="https://www.color-hex.com/color-palette/1043808" TargetMode="External"/><Relationship Id="rId52" Type="http://schemas.openxmlformats.org/officeDocument/2006/relationships/hyperlink" Target="https://www.bloomberg.com/company/stories/designing-the-terminal-for-color-accessibility/" TargetMode="External"/><Relationship Id="rId11" Type="http://schemas.openxmlformats.org/officeDocument/2006/relationships/hyperlink" Target="https://www.blackrock.com/aladdin/engineering-story-audiocast-episode" TargetMode="External"/><Relationship Id="rId10" Type="http://schemas.openxmlformats.org/officeDocument/2006/relationships/hyperlink" Target="https://medium.com/blackrock-engineering/design-systems-must-grow-and-evolve-b3b8994b1977" TargetMode="External"/><Relationship Id="rId54" Type="http://schemas.openxmlformats.org/officeDocument/2006/relationships/hyperlink" Target="https://www.zenml.io/llmops-database/agentic-ai-architecture-for-investment-management-platform" TargetMode="External"/><Relationship Id="rId13" Type="http://schemas.openxmlformats.org/officeDocument/2006/relationships/hyperlink" Target="https://www.snowflake.com/en/" TargetMode="External"/><Relationship Id="rId12" Type="http://schemas.openxmlformats.org/officeDocument/2006/relationships/hyperlink" Target="https://www.blackrock.com/aladdin/offerings/aladdin-enterprise" TargetMode="External"/><Relationship Id="rId15" Type="http://schemas.openxmlformats.org/officeDocument/2006/relationships/hyperlink" Target="https://www.color-hex.com/color-palette/8035" TargetMode="External"/><Relationship Id="rId14" Type="http://schemas.openxmlformats.org/officeDocument/2006/relationships/hyperlink" Target="https://www.blackrock.com/aladdin/products/aladdin-sustainability" TargetMode="External"/><Relationship Id="rId17" Type="http://schemas.openxmlformats.org/officeDocument/2006/relationships/hyperlink" Target="https://www.schemecolor.com/goldman-sachs-logo-color.php" TargetMode="External"/><Relationship Id="rId16" Type="http://schemas.openxmlformats.org/officeDocument/2006/relationships/hyperlink" Target="https://view.ceros.com/goldman-sachs/color-story-iv-2-1-2" TargetMode="External"/><Relationship Id="rId19" Type="http://schemas.openxmlformats.org/officeDocument/2006/relationships/hyperlink" Target="https://brandyhq.com/brand-guidelines/goldman-sachs/" TargetMode="External"/><Relationship Id="rId18" Type="http://schemas.openxmlformats.org/officeDocument/2006/relationships/hyperlink" Target="https://mobbin.com/colors/brand/goldman-sachs-international-b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