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23.png" ContentType="image/png"/>
  <Override PartName="/word/media/rId32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Bilan_Oir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Frédéric</w:t>
      </w:r>
      <w:r>
        <w:t xml:space="preserve"> </w:t>
      </w:r>
      <w:r>
        <w:t xml:space="preserve">Marchand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4/14/2020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2021:</w:t>
      </w:r>
      <w:r>
        <w:t xml:space="preserve"> </w:t>
      </w:r>
      <w:r>
        <w:t xml:space="preserve">- Tacons : harmoniser priorcpue : rate_cpue -&gt;</w:t>
      </w:r>
      <w:r>
        <w:t xml:space="preserve"> </w:t>
      </w:r>
      <w:r>
        <w:t xml:space="preserve">“</w:t>
      </w:r>
      <w:r>
        <w:t xml:space="preserve">p_cpue</w:t>
      </w:r>
      <w:r>
        <w:t xml:space="preserve">”</w:t>
      </w:r>
      <w:r>
        <w:t xml:space="preserve"> </w:t>
      </w:r>
      <w:r>
        <w:t xml:space="preserve">(voir Nivelle (L. 296) et Scorff)</w:t>
      </w:r>
      <w:r>
        <w:t xml:space="preserve"> </w:t>
      </w:r>
      <w:r>
        <w:t xml:space="preserve">- Réviser les surfaces d’habitats recalculer par Fred Lange</w:t>
      </w:r>
    </w:p>
    <w:p>
      <w:pPr>
        <w:pStyle w:val="BodyText"/>
      </w:pPr>
      <w:r>
        <w:t xml:space="preserve">2020:</w:t>
      </w:r>
      <w:r>
        <w:t xml:space="preserve"> </w:t>
      </w:r>
      <w:r>
        <w:t xml:space="preserve">- Ouverture d’un barrage en amont qui a rendu la partie haute accessible (1ers 0+ en 2020). Une station IAS en plus qu’on avait mis en place depuis plusieurs années en prévision (absence de saumon avant 2020).</w:t>
      </w:r>
      <w:r>
        <w:br/>
      </w:r>
      <w:r>
        <w:t xml:space="preserve">- Pas de pb de piégeage lié au covid</w:t>
      </w:r>
      <w:r>
        <w:br/>
      </w:r>
      <w:r>
        <w:t xml:space="preserve">- ajout groupe IAS tacons.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Oir. Seules les valeurs médianes sont reportées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au bilan pour le Oir. Seules les valeurs médianes sont reportées"/>
      </w:tblPr>
      <w:tblGrid>
        <w:gridCol w:w="449"/>
        <w:gridCol w:w="719"/>
        <w:gridCol w:w="629"/>
        <w:gridCol w:w="1619"/>
        <w:gridCol w:w="1619"/>
        <w:gridCol w:w="1439"/>
        <w:gridCol w:w="1439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MSW (tot returns)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1SW (escapment)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MSW (escapment)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Blablabla</w:t>
      </w:r>
    </w:p>
    <w:bookmarkEnd w:id="22"/>
    <w:bookmarkStart w:id="24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Xb74df31750fc4155fff549c77e2235d50c4be6d"/>
    <w:p>
      <w:pPr>
        <w:pStyle w:val="Heading1"/>
      </w:pPr>
      <w:r>
        <w:t xml:space="preserve">Proportion de saumon capturés au Moulin de Cerisel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1" w:name="taux-de-recapture"/>
    <w:p>
      <w:pPr>
        <w:pStyle w:val="Heading1"/>
      </w:pPr>
      <w:r>
        <w:t xml:space="preserve">Taux de recapture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6" w:name="smolts"/>
    <w:p>
      <w:pPr>
        <w:pStyle w:val="Heading1"/>
      </w:pPr>
      <w:r>
        <w:t xml:space="preserve">SMOLTS</w:t>
      </w:r>
    </w:p>
    <w:bookmarkStart w:id="35" w:name="nombre-de-smolts-estimés"/>
    <w:p>
      <w:pPr>
        <w:pStyle w:val="Heading2"/>
      </w:pPr>
      <w:r>
        <w:t xml:space="preserve">Nombre de smolts estimés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capt_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e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38" w:name="tacon"/>
    <w:p>
      <w:pPr>
        <w:pStyle w:val="Heading1"/>
      </w:pPr>
      <w:r>
        <w:t xml:space="preserve">TACON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pa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0" w:name="stock-recruitement-relationship"/>
    <w:p>
      <w:pPr>
        <w:pStyle w:val="Heading1"/>
      </w:pPr>
      <w:r>
        <w:t xml:space="preserve">Stock-Recruitement relationship</w:t>
      </w:r>
    </w:p>
    <w:p>
      <w:pPr>
        <w:pStyle w:val="FirstParagraph"/>
      </w:pPr>
      <w:r>
        <w:t xml:space="preserve">Stock : number of anadromous adults escaped (available for reproduction)</w:t>
      </w:r>
      <w:r>
        <w:t xml:space="preserve"> </w:t>
      </w:r>
      <w:r>
        <w:t xml:space="preserve">Recruitment: number of parr 0+</w:t>
      </w:r>
      <w:r>
        <w:t xml:space="preserve"> </w:t>
      </w:r>
      <w:r>
        <w:t xml:space="preserve">Les années reportées sur la figure correspondent à l’année de la cohorte des juvéniles produits.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Bilan_Oir</dc:title>
  <dc:creator>Mathieu Buoro, Frédéric Marchand &amp; Etienne Prévost</dc:creator>
  <cp:keywords/>
  <dcterms:created xsi:type="dcterms:W3CDTF">2022-03-25T13:59:58Z</dcterms:created>
  <dcterms:modified xsi:type="dcterms:W3CDTF">2022-03-25T13:59:58Z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4/14/2020</vt:lpwstr>
  </property>
  <property fmtid="{D5CDD505-2E9C-101B-9397-08002B2CF9AE}" pid="3" name="output">
    <vt:lpwstr/>
  </property>
</Properties>
</file>