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24.png" ContentType="image/png"/>
  <Override PartName="/word/media/rId3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Bilan_Oir</w:t>
      </w:r>
    </w:p>
    <w:p>
      <w:pPr>
        <w:pStyle w:val="Author"/>
      </w:pPr>
      <w:r>
        <w:t xml:space="preserve">Mathieu</w:t>
      </w:r>
      <w:r>
        <w:t xml:space="preserve"> </w:t>
      </w:r>
      <w:r>
        <w:t xml:space="preserve">Buoro,</w:t>
      </w:r>
      <w:r>
        <w:t xml:space="preserve"> </w:t>
      </w:r>
      <w:r>
        <w:t xml:space="preserve">Frédéric</w:t>
      </w:r>
      <w:r>
        <w:t xml:space="preserve"> </w:t>
      </w:r>
      <w:r>
        <w:t xml:space="preserve">Marchand</w:t>
      </w:r>
      <w:r>
        <w:t xml:space="preserve"> </w:t>
      </w:r>
      <w:r>
        <w:t xml:space="preserve">&amp;</w:t>
      </w:r>
      <w:r>
        <w:t xml:space="preserve"> </w:t>
      </w:r>
      <w:r>
        <w:t xml:space="preserve">Etienne</w:t>
      </w:r>
      <w:r>
        <w:t xml:space="preserve"> </w:t>
      </w:r>
      <w:r>
        <w:t xml:space="preserve">Prévost</w:t>
      </w:r>
    </w:p>
    <w:p>
      <w:pPr>
        <w:pStyle w:val="Date"/>
      </w:pPr>
      <w:r>
        <w:t xml:space="preserve">4/14/2020</w:t>
      </w:r>
    </w:p>
    <w:p>
      <w:pPr>
        <w:pStyle w:val="Heading3"/>
      </w:pPr>
      <w:bookmarkStart w:id="20" w:name="nota-bene"/>
      <w:r>
        <w:t xml:space="preserve">NOTA BENE</w:t>
      </w:r>
      <w:bookmarkEnd w:id="20"/>
    </w:p>
    <w:p>
      <w:pPr>
        <w:pStyle w:val="FirstParagraph"/>
      </w:pPr>
      <w:r>
        <w:t xml:space="preserve">2020:</w:t>
      </w:r>
      <w:r>
        <w:t xml:space="preserve"> </w:t>
      </w:r>
      <w:r>
        <w:t xml:space="preserve">- Ouverture d’un barrage en amont qui a rendu la partie haute accessible (1ers 0+ en 2020). Une station IAS en plus qu’on avait mis en place depuis plusieurs années en prévision (absence de saumon avant 2020).</w:t>
      </w:r>
      <w:r>
        <w:br w:type="textWrapping"/>
      </w:r>
      <w:r>
        <w:t xml:space="preserve">- Pas de pb de piégeage lié au covid</w:t>
      </w:r>
      <w:r>
        <w:br w:type="textWrapping"/>
      </w:r>
      <w:r>
        <w:t xml:space="preserve">- ajout groupe IAS tacons.</w:t>
      </w:r>
    </w:p>
    <w:p>
      <w:pPr>
        <w:pStyle w:val="Heading3"/>
      </w:pPr>
      <w:bookmarkStart w:id="21" w:name="tableau-bilan"/>
      <w:r>
        <w:t xml:space="preserve">TABLEAU BILAN</w:t>
      </w:r>
      <w:bookmarkEnd w:id="21"/>
    </w:p>
    <w:p>
      <w:pPr>
        <w:pStyle w:val="TableCaption"/>
      </w:pPr>
      <w:r>
        <w:t xml:space="preserve">Tableau bilan pour le Oir. Seules les valeurs médianes sont reportées</w:t>
      </w:r>
    </w:p>
    <w:tbl>
      <w:tblPr>
        <w:tblStyle w:val="Table"/>
        <w:tblW w:type="pct" w:w="0.0"/>
        <w:tblLook w:firstRow="1"/>
        <w:tblCaption w:val="Tableau bilan pour le Oir. Seules les valeurs médianes sont reporté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Parr 0+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Smolts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1SW (tot returns)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MSW (tot returns)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1SW (escapment)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MSW (escapment)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744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986</w:t>
            </w:r>
          </w:p>
        </w:tc>
        <w:tc>
          <w:p>
            <w:pPr>
              <w:pStyle w:val="Compact"/>
              <w:jc w:val="right"/>
            </w:pPr>
            <w:r>
              <w:t xml:space="preserve">356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3278</w:t>
            </w:r>
          </w:p>
        </w:tc>
        <w:tc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4513</w:t>
            </w:r>
          </w:p>
        </w:tc>
        <w:tc>
          <w:p>
            <w:pPr>
              <w:pStyle w:val="Compact"/>
              <w:jc w:val="right"/>
            </w:pPr>
            <w:r>
              <w:t xml:space="preserve">824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3200</w:t>
            </w:r>
          </w:p>
        </w:tc>
        <w:tc>
          <w:p>
            <w:pPr>
              <w:pStyle w:val="Compact"/>
              <w:jc w:val="right"/>
            </w:pPr>
            <w:r>
              <w:t xml:space="preserve">806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557</w:t>
            </w:r>
          </w:p>
        </w:tc>
        <w:tc>
          <w:p>
            <w:pPr>
              <w:pStyle w:val="Compact"/>
              <w:jc w:val="right"/>
            </w:pPr>
            <w:r>
              <w:t xml:space="preserve">672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2032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1430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2547</w:t>
            </w:r>
          </w:p>
        </w:tc>
        <w:tc>
          <w:p>
            <w:pPr>
              <w:pStyle w:val="Compact"/>
              <w:jc w:val="right"/>
            </w:pPr>
            <w:r>
              <w:t xml:space="preserve">742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732</w:t>
            </w:r>
          </w:p>
        </w:tc>
        <w:tc>
          <w:p>
            <w:pPr>
              <w:pStyle w:val="Compact"/>
              <w:jc w:val="right"/>
            </w:pPr>
            <w:r>
              <w:t xml:space="preserve">998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3723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1079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5394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5017</w:t>
            </w:r>
          </w:p>
        </w:tc>
        <w:tc>
          <w:p>
            <w:pPr>
              <w:pStyle w:val="Compact"/>
              <w:jc w:val="right"/>
            </w:pPr>
            <w:r>
              <w:t xml:space="preserve">2161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8491</w:t>
            </w:r>
          </w:p>
        </w:tc>
        <w:tc>
          <w:p>
            <w:pPr>
              <w:pStyle w:val="Compact"/>
              <w:jc w:val="right"/>
            </w:pPr>
            <w:r>
              <w:t xml:space="preserve">1367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1190</w:t>
            </w:r>
          </w:p>
        </w:tc>
        <w:tc>
          <w:p>
            <w:pPr>
              <w:pStyle w:val="Compact"/>
              <w:jc w:val="right"/>
            </w:pPr>
            <w:r>
              <w:t xml:space="preserve">2363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5948</w:t>
            </w:r>
          </w:p>
        </w:tc>
        <w:tc>
          <w:p>
            <w:pPr>
              <w:pStyle w:val="Compact"/>
              <w:jc w:val="right"/>
            </w:pPr>
            <w:r>
              <w:t xml:space="preserve">1232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716</w:t>
            </w:r>
          </w:p>
        </w:tc>
        <w:tc>
          <w:p>
            <w:pPr>
              <w:pStyle w:val="Compact"/>
              <w:jc w:val="right"/>
            </w:pPr>
            <w:r>
              <w:t xml:space="preserve">1231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323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4776</w:t>
            </w:r>
          </w:p>
        </w:tc>
        <w:tc>
          <w:p>
            <w:pPr>
              <w:pStyle w:val="Compact"/>
              <w:jc w:val="right"/>
            </w:pPr>
            <w:r>
              <w:t xml:space="preserve">845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3612</w:t>
            </w:r>
          </w:p>
        </w:tc>
        <w:tc>
          <w:p>
            <w:pPr>
              <w:pStyle w:val="Compact"/>
              <w:jc w:val="right"/>
            </w:pPr>
            <w:r>
              <w:t xml:space="preserve">1357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6633</w:t>
            </w:r>
          </w:p>
        </w:tc>
        <w:tc>
          <w:p>
            <w:pPr>
              <w:pStyle w:val="Compact"/>
              <w:jc w:val="right"/>
            </w:pPr>
            <w:r>
              <w:t xml:space="preserve">953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7188</w:t>
            </w:r>
          </w:p>
        </w:tc>
        <w:tc>
          <w:p>
            <w:pPr>
              <w:pStyle w:val="Compact"/>
              <w:jc w:val="right"/>
            </w:pPr>
            <w:r>
              <w:t xml:space="preserve">2159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5878</w:t>
            </w:r>
          </w:p>
        </w:tc>
        <w:tc>
          <w:p>
            <w:pPr>
              <w:pStyle w:val="Compact"/>
              <w:jc w:val="right"/>
            </w:pPr>
            <w:r>
              <w:t xml:space="preserve">3391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9055</w:t>
            </w:r>
          </w:p>
        </w:tc>
        <w:tc>
          <w:p>
            <w:pPr>
              <w:pStyle w:val="Compact"/>
              <w:jc w:val="right"/>
            </w:pPr>
            <w:r>
              <w:t xml:space="preserve">1415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470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8238</w:t>
            </w:r>
          </w:p>
        </w:tc>
        <w:tc>
          <w:p>
            <w:pPr>
              <w:pStyle w:val="Compact"/>
              <w:jc w:val="right"/>
            </w:pPr>
            <w:r>
              <w:t xml:space="preserve">1804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9852</w:t>
            </w:r>
          </w:p>
        </w:tc>
        <w:tc>
          <w:p>
            <w:pPr>
              <w:pStyle w:val="Compact"/>
              <w:jc w:val="right"/>
            </w:pPr>
            <w:r>
              <w:t xml:space="preserve">1361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10660</w:t>
            </w:r>
          </w:p>
        </w:tc>
        <w:tc>
          <w:p>
            <w:pPr>
              <w:pStyle w:val="Compact"/>
              <w:jc w:val="right"/>
            </w:pPr>
            <w:r>
              <w:t xml:space="preserve">1295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11180</w:t>
            </w:r>
          </w:p>
        </w:tc>
        <w:tc>
          <w:p>
            <w:pPr>
              <w:pStyle w:val="Compact"/>
              <w:jc w:val="right"/>
            </w:pPr>
            <w:r>
              <w:t xml:space="preserve">1576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8411</w:t>
            </w:r>
          </w:p>
        </w:tc>
        <w:tc>
          <w:p>
            <w:pPr>
              <w:pStyle w:val="Compact"/>
              <w:jc w:val="right"/>
            </w:pPr>
            <w:r>
              <w:t xml:space="preserve">2307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3661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3663</w:t>
            </w:r>
          </w:p>
        </w:tc>
        <w:tc>
          <w:p>
            <w:pPr>
              <w:pStyle w:val="Compact"/>
              <w:jc w:val="right"/>
            </w:pPr>
            <w:r>
              <w:t xml:space="preserve">1656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5852</w:t>
            </w:r>
          </w:p>
        </w:tc>
        <w:tc>
          <w:p>
            <w:pPr>
              <w:pStyle w:val="Compact"/>
              <w:jc w:val="right"/>
            </w:pPr>
            <w:r>
              <w:t xml:space="preserve">2209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4858</w:t>
            </w:r>
          </w:p>
        </w:tc>
        <w:tc>
          <w:p>
            <w:pPr>
              <w:pStyle w:val="Compact"/>
              <w:jc w:val="right"/>
            </w:pPr>
            <w:r>
              <w:t xml:space="preserve">1236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8767</w:t>
            </w:r>
          </w:p>
        </w:tc>
        <w:tc>
          <w:p>
            <w:pPr>
              <w:pStyle w:val="Compact"/>
              <w:jc w:val="right"/>
            </w:pPr>
            <w:r>
              <w:t xml:space="preserve">1330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</w:tbl>
    <w:p>
      <w:pPr>
        <w:pStyle w:val="Heading2"/>
      </w:pPr>
      <w:bookmarkStart w:id="22" w:name="adultes"/>
      <w:r>
        <w:t xml:space="preserve">ADULTES</w:t>
      </w:r>
      <w:bookmarkEnd w:id="22"/>
    </w:p>
    <w:p>
      <w:pPr>
        <w:pStyle w:val="FirstParagraph"/>
      </w:pPr>
      <w:r>
        <w:t xml:space="preserve">Blablabla</w:t>
      </w:r>
    </w:p>
    <w:p>
      <w:pPr>
        <w:pStyle w:val="Heading2"/>
      </w:pPr>
      <w:bookmarkStart w:id="23" w:name="nombre-total-de-retour-et-échappement"/>
      <w:r>
        <w:t xml:space="preserve">Nombre total de retour et échappement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nombre-total-de-retour-par-classe-dâge"/>
      <w:r>
        <w:t xml:space="preserve">Nombre total de retour par classe d’âge</w:t>
      </w:r>
      <w:bookmarkEnd w:id="2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proportion-de-saumon-capturés-au-moulin-de-cerisel"/>
      <w:r>
        <w:t xml:space="preserve">Proportion de saumon capturés au Moulin de Cerisel</w:t>
      </w:r>
      <w:bookmarkEnd w:id="2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taux-de-recapture"/>
      <w:r>
        <w:t xml:space="preserve">Taux de recapture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smolts"/>
      <w:r>
        <w:t xml:space="preserve">SMOLTS</w:t>
      </w:r>
      <w:bookmarkEnd w:id="32"/>
    </w:p>
    <w:p>
      <w:pPr>
        <w:pStyle w:val="Heading2"/>
      </w:pPr>
      <w:bookmarkStart w:id="33" w:name="nombre-de-smolts-estimés"/>
      <w:r>
        <w:t xml:space="preserve">Nombre de smolts estimés</w:t>
      </w:r>
      <w:bookmarkEnd w:id="3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smo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capt_smo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en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tacon"/>
      <w:r>
        <w:t xml:space="preserve">TACON</w:t>
      </w:r>
      <w:bookmarkEnd w:id="3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par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stock-recruitement-relationship"/>
      <w:r>
        <w:t xml:space="preserve">Stock-Recruitement relationship</w:t>
      </w:r>
      <w:bookmarkEnd w:id="39"/>
    </w:p>
    <w:p>
      <w:pPr>
        <w:pStyle w:val="FirstParagraph"/>
      </w:pPr>
      <w:r>
        <w:t xml:space="preserve">Stock : number of anadromous adults escaped (available for reproduction)</w:t>
      </w:r>
      <w:r>
        <w:t xml:space="preserve"> </w:t>
      </w:r>
      <w:r>
        <w:t xml:space="preserve">Recruitment: number of parr 0+</w:t>
      </w:r>
      <w:r>
        <w:t xml:space="preserve"> </w:t>
      </w:r>
      <w:r>
        <w:t xml:space="preserve">Les années reportées sur la figure correspondent à l’année de la cohorte des juvéniles produits.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S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Bilan_Oir</dc:title>
  <dc:creator>Mathieu Buoro, Frédéric Marchand &amp; Etienne Prévost</dc:creator>
  <cp:keywords/>
  <dcterms:created xsi:type="dcterms:W3CDTF">2021-03-12T09:31:14Z</dcterms:created>
  <dcterms:modified xsi:type="dcterms:W3CDTF">2021-03-12T09:31:14Z</dcterms:modified>
</cp:coreProperties>
</file>