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0179A8A3" w14:textId="277C6C33" w:rsidR="009A3006" w:rsidRPr="009A3006" w:rsidRDefault="009A3006" w:rsidP="009A3006">
      <w:pPr>
        <w:autoSpaceDE w:val="0"/>
        <w:autoSpaceDN w:val="0"/>
        <w:adjustRightInd w:val="0"/>
        <w:spacing w:after="0" w:line="360" w:lineRule="auto"/>
        <w:jc w:val="both"/>
        <w:rPr>
          <w:rFonts w:ascii="Arial Narrow" w:hAnsi="Arial Narrow"/>
          <w:b/>
          <w:bCs/>
          <w:lang w:val="es-ES"/>
        </w:rPr>
      </w:pPr>
      <w:bookmarkStart w:id="0" w:name="_Hlk48822687"/>
      <w:r w:rsidRPr="009A3006">
        <w:rPr>
          <w:rFonts w:ascii="Arial Narrow" w:hAnsi="Arial Narrow"/>
          <w:b/>
          <w:bCs/>
          <w:lang w:val="es-ES"/>
        </w:rPr>
        <w:t xml:space="preserve">IOARR: "CONSTRUCCIÓN DE MUROS DE CONTENCIÓN, REHABILITACIÓN DEL CERCO PERIMÉTRICO, INSTALACIÓN DE SISTEMA DE DRENAJE Y FORESTACIÓN EN LA </w:t>
      </w:r>
      <w:proofErr w:type="spellStart"/>
      <w:r w:rsidRPr="009A3006">
        <w:rPr>
          <w:rFonts w:ascii="Arial Narrow" w:hAnsi="Arial Narrow"/>
          <w:b/>
          <w:bCs/>
          <w:lang w:val="es-ES"/>
        </w:rPr>
        <w:t>IEI</w:t>
      </w:r>
      <w:proofErr w:type="spellEnd"/>
      <w:r w:rsidRPr="009A3006">
        <w:rPr>
          <w:rFonts w:ascii="Arial Narrow" w:hAnsi="Arial Narrow"/>
          <w:b/>
          <w:bCs/>
          <w:lang w:val="es-ES"/>
        </w:rPr>
        <w:t xml:space="preserve">. N° 181, </w:t>
      </w:r>
      <w:proofErr w:type="spellStart"/>
      <w:r w:rsidRPr="009A3006">
        <w:rPr>
          <w:rFonts w:ascii="Arial Narrow" w:hAnsi="Arial Narrow"/>
          <w:b/>
          <w:bCs/>
          <w:lang w:val="es-ES"/>
        </w:rPr>
        <w:t>IEP</w:t>
      </w:r>
      <w:proofErr w:type="spellEnd"/>
      <w:r w:rsidRPr="009A3006">
        <w:rPr>
          <w:rFonts w:ascii="Arial Narrow" w:hAnsi="Arial Narrow"/>
          <w:b/>
          <w:bCs/>
          <w:lang w:val="es-ES"/>
        </w:rPr>
        <w:t xml:space="preserve">. 54414, E IES "JUAN VELASCO ALVARADO" DE LA COMUNIDAD DE </w:t>
      </w:r>
      <w:proofErr w:type="spellStart"/>
      <w:r w:rsidRPr="009A3006">
        <w:rPr>
          <w:rFonts w:ascii="Arial Narrow" w:hAnsi="Arial Narrow"/>
          <w:b/>
          <w:bCs/>
          <w:lang w:val="es-ES"/>
        </w:rPr>
        <w:t>RECORD</w:t>
      </w:r>
      <w:proofErr w:type="spellEnd"/>
      <w:r w:rsidRPr="009A3006">
        <w:rPr>
          <w:rFonts w:ascii="Arial Narrow" w:hAnsi="Arial Narrow"/>
          <w:b/>
          <w:bCs/>
          <w:lang w:val="es-ES"/>
        </w:rPr>
        <w:t xml:space="preserve"> - </w:t>
      </w:r>
      <w:proofErr w:type="spellStart"/>
      <w:r w:rsidRPr="009A3006">
        <w:rPr>
          <w:rFonts w:ascii="Arial Narrow" w:hAnsi="Arial Narrow"/>
          <w:b/>
          <w:bCs/>
          <w:lang w:val="es-ES"/>
        </w:rPr>
        <w:t>CCONCCACCA</w:t>
      </w:r>
      <w:proofErr w:type="spellEnd"/>
      <w:r w:rsidRPr="009A3006">
        <w:rPr>
          <w:rFonts w:ascii="Arial Narrow" w:hAnsi="Arial Narrow"/>
          <w:b/>
          <w:bCs/>
          <w:lang w:val="es-ES"/>
        </w:rPr>
        <w:t>, PARA LA REDUCCIÓN DEL RIESGO DE DESASTRES, DISTRITO DE PROGRESO, PROVINCIA GRAU, DEPARTAMENTO - APURÍMAC"</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spellStart"/>
      <w:r w:rsidR="00B52843" w:rsidRPr="003109D0">
        <w:rPr>
          <w:rFonts w:ascii="Arial Narrow" w:hAnsi="Arial Narrow" w:cs="Arial"/>
        </w:rPr>
        <w:t>FINANC</w:t>
      </w:r>
      <w:proofErr w:type="spellEnd"/>
      <w:r w:rsidR="00B52843" w:rsidRPr="003109D0">
        <w:rPr>
          <w:rFonts w:ascii="Arial Narrow" w:hAnsi="Arial Narrow" w:cs="Arial"/>
        </w:rPr>
        <w:t xml:space="preserve">.  </w:t>
      </w:r>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67388A" w:rsidR="0064558A" w:rsidRPr="009A3006" w:rsidRDefault="00957E4B" w:rsidP="009A3006">
      <w:pPr>
        <w:autoSpaceDE w:val="0"/>
        <w:autoSpaceDN w:val="0"/>
        <w:adjustRightInd w:val="0"/>
        <w:spacing w:after="0" w:line="360" w:lineRule="auto"/>
        <w:jc w:val="both"/>
        <w:rPr>
          <w:rFonts w:ascii="Arial Narrow" w:hAnsi="Arial Narrow"/>
          <w:b/>
          <w:bCs/>
          <w:lang w:val="es-ES"/>
        </w:rPr>
      </w:pPr>
      <w:r>
        <w:rPr>
          <w:rFonts w:ascii="Arial Narrow" w:hAnsi="Arial Narrow" w:cs="Arial"/>
          <w:lang w:val="es-ES"/>
        </w:rPr>
        <w:t>La presente</w:t>
      </w:r>
      <w:r w:rsidR="0064558A" w:rsidRPr="003109D0">
        <w:rPr>
          <w:rFonts w:ascii="Arial Narrow" w:hAnsi="Arial Narrow" w:cs="Arial"/>
          <w:lang w:val="es-ES"/>
        </w:rPr>
        <w:t xml:space="preserve"> </w:t>
      </w:r>
      <w:r w:rsidR="009A3006" w:rsidRPr="009A3006">
        <w:rPr>
          <w:rFonts w:ascii="Arial Narrow" w:hAnsi="Arial Narrow"/>
          <w:b/>
          <w:bCs/>
          <w:lang w:val="es-ES"/>
        </w:rPr>
        <w:t xml:space="preserve">IOARR: "CONSTRUCCIÓN DE MUROS DE CONTENCIÓN, REHABILITACIÓN DEL CERCO PERIMÉTRICO, INSTALACIÓN DE SISTEMA DE DRENAJE Y FORESTACIÓN EN LA </w:t>
      </w:r>
      <w:proofErr w:type="spellStart"/>
      <w:r w:rsidR="009A3006" w:rsidRPr="009A3006">
        <w:rPr>
          <w:rFonts w:ascii="Arial Narrow" w:hAnsi="Arial Narrow"/>
          <w:b/>
          <w:bCs/>
          <w:lang w:val="es-ES"/>
        </w:rPr>
        <w:t>IEI</w:t>
      </w:r>
      <w:proofErr w:type="spellEnd"/>
      <w:r w:rsidR="009A3006" w:rsidRPr="009A3006">
        <w:rPr>
          <w:rFonts w:ascii="Arial Narrow" w:hAnsi="Arial Narrow"/>
          <w:b/>
          <w:bCs/>
          <w:lang w:val="es-ES"/>
        </w:rPr>
        <w:t xml:space="preserve">. N° 181, </w:t>
      </w:r>
      <w:proofErr w:type="spellStart"/>
      <w:r w:rsidR="009A3006" w:rsidRPr="009A3006">
        <w:rPr>
          <w:rFonts w:ascii="Arial Narrow" w:hAnsi="Arial Narrow"/>
          <w:b/>
          <w:bCs/>
          <w:lang w:val="es-ES"/>
        </w:rPr>
        <w:t>IEP</w:t>
      </w:r>
      <w:proofErr w:type="spellEnd"/>
      <w:r w:rsidR="009A3006" w:rsidRPr="009A3006">
        <w:rPr>
          <w:rFonts w:ascii="Arial Narrow" w:hAnsi="Arial Narrow"/>
          <w:b/>
          <w:bCs/>
          <w:lang w:val="es-ES"/>
        </w:rPr>
        <w:t xml:space="preserve">. 54414, E IES "JUAN VELASCO ALVARADO" DE LA COMUNIDAD DE </w:t>
      </w:r>
      <w:proofErr w:type="spellStart"/>
      <w:r w:rsidR="009A3006" w:rsidRPr="009A3006">
        <w:rPr>
          <w:rFonts w:ascii="Arial Narrow" w:hAnsi="Arial Narrow"/>
          <w:b/>
          <w:bCs/>
          <w:lang w:val="es-ES"/>
        </w:rPr>
        <w:t>RECORD</w:t>
      </w:r>
      <w:proofErr w:type="spellEnd"/>
      <w:r w:rsidR="009A3006" w:rsidRPr="009A3006">
        <w:rPr>
          <w:rFonts w:ascii="Arial Narrow" w:hAnsi="Arial Narrow"/>
          <w:b/>
          <w:bCs/>
          <w:lang w:val="es-ES"/>
        </w:rPr>
        <w:t xml:space="preserve"> - </w:t>
      </w:r>
      <w:proofErr w:type="spellStart"/>
      <w:r w:rsidR="009A3006" w:rsidRPr="009A3006">
        <w:rPr>
          <w:rFonts w:ascii="Arial Narrow" w:hAnsi="Arial Narrow"/>
          <w:b/>
          <w:bCs/>
          <w:lang w:val="es-ES"/>
        </w:rPr>
        <w:t>CCONCCACCA</w:t>
      </w:r>
      <w:proofErr w:type="spellEnd"/>
      <w:r w:rsidR="009A3006" w:rsidRPr="009A3006">
        <w:rPr>
          <w:rFonts w:ascii="Arial Narrow" w:hAnsi="Arial Narrow"/>
          <w:b/>
          <w:bCs/>
          <w:lang w:val="es-ES"/>
        </w:rPr>
        <w:t xml:space="preserve">, PARA LA REDUCCIÓN DEL RIESGO DE DESASTRES, DISTRITO DE PROGRESO, PROVINCIA GRAU, </w:t>
      </w:r>
      <w:r w:rsidR="009A3006" w:rsidRPr="009A3006">
        <w:rPr>
          <w:rFonts w:ascii="Arial Narrow" w:hAnsi="Arial Narrow"/>
          <w:b/>
          <w:bCs/>
          <w:lang w:val="es-ES"/>
        </w:rPr>
        <w:lastRenderedPageBreak/>
        <w:t>DEPARTAMENTO - APURÍMAC"</w:t>
      </w:r>
      <w:r w:rsidR="009A3006">
        <w:rPr>
          <w:rFonts w:ascii="Arial Narrow" w:hAnsi="Arial Narrow"/>
          <w:b/>
          <w:bCs/>
          <w:lang w:val="es-ES"/>
        </w:rPr>
        <w:t xml:space="preserve"> </w:t>
      </w:r>
      <w:r w:rsidR="0064558A" w:rsidRPr="009A3006">
        <w:rPr>
          <w:rFonts w:ascii="Arial Narrow" w:hAnsi="Arial Narrow" w:cs="Arial"/>
          <w:lang w:val="es-ES"/>
        </w:rPr>
        <w:t xml:space="preserve"> </w:t>
      </w:r>
      <w:r w:rsidRPr="009A3006">
        <w:rPr>
          <w:rFonts w:ascii="Arial Narrow" w:hAnsi="Arial Narrow" w:cs="Arial"/>
          <w:u w:val="single"/>
        </w:rPr>
        <w:t>La presente IOARR</w:t>
      </w:r>
      <w:r w:rsidR="0064558A" w:rsidRPr="009A3006">
        <w:rPr>
          <w:rFonts w:ascii="Arial Narrow" w:hAnsi="Arial Narrow" w:cs="Arial"/>
          <w:u w:val="single"/>
        </w:rPr>
        <w:t xml:space="preserve"> Será Ejecutado Con Recursos Propios de la Entidad</w:t>
      </w:r>
      <w:r w:rsidR="0064558A" w:rsidRPr="009A3006">
        <w:rPr>
          <w:rFonts w:ascii="Arial Narrow" w:hAnsi="Arial Narrow" w:cs="Arial"/>
        </w:rPr>
        <w:t xml:space="preserve"> por la modalidad de administración </w:t>
      </w:r>
      <w:r w:rsidR="00C1670B" w:rsidRPr="009A3006">
        <w:rPr>
          <w:rFonts w:ascii="Arial Narrow" w:hAnsi="Arial Narrow" w:cs="Arial"/>
        </w:rPr>
        <w:t>directa el</w:t>
      </w:r>
      <w:r w:rsidR="0064558A" w:rsidRPr="009A3006">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w:t>
      </w:r>
      <w:r w:rsidR="0083640D">
        <w:rPr>
          <w:rFonts w:ascii="Arial Narrow" w:hAnsi="Arial Narrow" w:cs="Arial"/>
        </w:rPr>
        <w:t xml:space="preserve">los tres niveles </w:t>
      </w:r>
      <w:r w:rsidR="0064558A" w:rsidRPr="009A3006">
        <w:rPr>
          <w:rFonts w:ascii="Arial Narrow" w:hAnsi="Arial Narrow" w:cs="Arial"/>
        </w:rPr>
        <w:t>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0393E4AC"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xml:space="preserve">, la asignación presupuestal para la Construcción </w:t>
      </w:r>
      <w:r w:rsidR="0083640D" w:rsidRPr="0083640D">
        <w:rPr>
          <w:rFonts w:ascii="Arial Narrow" w:hAnsi="Arial Narrow" w:cs="Arial"/>
          <w:color w:val="0070C0"/>
        </w:rPr>
        <w:t>de muro de contención</w:t>
      </w:r>
      <w:r w:rsidR="0083640D">
        <w:rPr>
          <w:rFonts w:ascii="Arial Narrow" w:hAnsi="Arial Narrow" w:cs="Arial"/>
          <w:color w:val="000000" w:themeColor="text1"/>
        </w:rPr>
        <w:t xml:space="preserve"> </w:t>
      </w:r>
      <w:r w:rsidR="0083640D">
        <w:rPr>
          <w:rFonts w:ascii="Arial Narrow" w:hAnsi="Arial Narrow" w:cs="Arial"/>
          <w:color w:val="0070C0"/>
        </w:rPr>
        <w:t>, cerco perimétrico y la forestación de toda la zona de erosión</w:t>
      </w:r>
      <w:r w:rsidRPr="003109D0">
        <w:rPr>
          <w:rFonts w:ascii="Arial Narrow" w:hAnsi="Arial Narrow" w:cs="Arial"/>
          <w:color w:val="000000" w:themeColor="text1"/>
        </w:rPr>
        <w:t xml:space="preserve">, </w:t>
      </w:r>
      <w:r w:rsidR="0083640D" w:rsidRPr="0083640D">
        <w:rPr>
          <w:rFonts w:ascii="Arial Narrow" w:hAnsi="Arial Narrow" w:cs="Arial"/>
          <w:color w:val="0070C0"/>
        </w:rPr>
        <w:t xml:space="preserve">para salvaguardar la </w:t>
      </w:r>
      <w:r w:rsidR="00B66B21" w:rsidRPr="0083640D">
        <w:rPr>
          <w:rFonts w:ascii="Arial Narrow" w:hAnsi="Arial Narrow" w:cs="Arial"/>
          <w:color w:val="0070C0"/>
        </w:rPr>
        <w:t>integridad</w:t>
      </w:r>
      <w:r w:rsidR="0083640D" w:rsidRPr="0083640D">
        <w:rPr>
          <w:rFonts w:ascii="Arial Narrow" w:hAnsi="Arial Narrow" w:cs="Arial"/>
          <w:color w:val="0070C0"/>
        </w:rPr>
        <w:t xml:space="preserve"> </w:t>
      </w:r>
      <w:r w:rsidR="00B66B21" w:rsidRPr="0083640D">
        <w:rPr>
          <w:rFonts w:ascii="Arial Narrow" w:hAnsi="Arial Narrow" w:cs="Arial"/>
          <w:color w:val="0070C0"/>
        </w:rPr>
        <w:t>de</w:t>
      </w:r>
      <w:r w:rsidR="0083640D" w:rsidRPr="0083640D">
        <w:rPr>
          <w:rFonts w:ascii="Arial Narrow" w:hAnsi="Arial Narrow" w:cs="Arial"/>
          <w:color w:val="0070C0"/>
        </w:rPr>
        <w:t xml:space="preserve"> los alumnos y toda plana de docentes y </w:t>
      </w:r>
      <w:proofErr w:type="spellStart"/>
      <w:r w:rsidR="0083640D" w:rsidRPr="0083640D">
        <w:rPr>
          <w:rFonts w:ascii="Arial Narrow" w:hAnsi="Arial Narrow" w:cs="Arial"/>
          <w:color w:val="0070C0"/>
        </w:rPr>
        <w:t>as</w:t>
      </w:r>
      <w:r w:rsidR="0083640D">
        <w:rPr>
          <w:rFonts w:ascii="Arial Narrow" w:hAnsi="Arial Narrow" w:cs="Arial"/>
          <w:color w:val="0070C0"/>
        </w:rPr>
        <w:t>i</w:t>
      </w:r>
      <w:proofErr w:type="spellEnd"/>
      <w:r w:rsidR="0083640D">
        <w:rPr>
          <w:rFonts w:ascii="Arial Narrow" w:hAnsi="Arial Narrow" w:cs="Arial"/>
          <w:color w:val="0070C0"/>
        </w:rPr>
        <w:t xml:space="preserve"> garantizar </w:t>
      </w:r>
      <w:r w:rsidR="00B66B21">
        <w:rPr>
          <w:rFonts w:ascii="Arial Narrow" w:hAnsi="Arial Narrow" w:cs="Arial"/>
          <w:color w:val="0070C0"/>
        </w:rPr>
        <w:t>el total aprovechamiento de aprendizaje  que se brinda en dichas instituciones beneficiadas con el IOARR</w:t>
      </w:r>
      <w:r w:rsidRPr="003109D0">
        <w:rPr>
          <w:rFonts w:ascii="Arial Narrow" w:hAnsi="Arial Narrow" w:cs="Arial"/>
          <w:color w:val="000000" w:themeColor="text1"/>
        </w:rPr>
        <w:t xml:space="preserve">. En los documentos de referencia de dicho Oficio, justifican mediante fotos, actas y otros la necesidad de realizar </w:t>
      </w:r>
      <w:r w:rsidR="00B66B21">
        <w:rPr>
          <w:rFonts w:ascii="Arial Narrow" w:hAnsi="Arial Narrow" w:cs="Arial"/>
          <w:color w:val="0070C0"/>
        </w:rPr>
        <w:t xml:space="preserve">el IOARR </w:t>
      </w:r>
      <w:r w:rsidRPr="003109D0">
        <w:rPr>
          <w:rFonts w:ascii="Arial Narrow" w:hAnsi="Arial Narrow" w:cs="Arial"/>
          <w:color w:val="000000" w:themeColor="text1"/>
        </w:rPr>
        <w:t>solicitada.</w:t>
      </w:r>
    </w:p>
    <w:p w14:paraId="784EA619" w14:textId="4923574A" w:rsidR="0064558A" w:rsidRPr="00CA6F4C"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highlight w:val="red"/>
        </w:rPr>
      </w:pPr>
      <w:r w:rsidRPr="00CA6F4C">
        <w:rPr>
          <w:rFonts w:ascii="Arial Narrow" w:hAnsi="Arial Narrow" w:cs="Arial"/>
          <w:iCs/>
          <w:color w:val="000000" w:themeColor="text1"/>
          <w:highlight w:val="red"/>
        </w:rPr>
        <w:t xml:space="preserve">Debemos tener en cuenta que la exposición </w:t>
      </w:r>
      <w:r w:rsidR="00B66B21" w:rsidRPr="00CA6F4C">
        <w:rPr>
          <w:rFonts w:ascii="Arial Narrow" w:hAnsi="Arial Narrow" w:cs="Arial"/>
          <w:iCs/>
          <w:color w:val="0070C0"/>
          <w:highlight w:val="red"/>
        </w:rPr>
        <w:t xml:space="preserve">a los riesgos que se presentan </w:t>
      </w:r>
      <w:r w:rsidRPr="00CA6F4C">
        <w:rPr>
          <w:rFonts w:ascii="Arial Narrow" w:hAnsi="Arial Narrow" w:cs="Arial"/>
          <w:iCs/>
          <w:color w:val="000000" w:themeColor="text1"/>
          <w:highlight w:val="red"/>
        </w:rPr>
        <w:t xml:space="preserve">prolongada a la radiación solar causa estragos en la salud del educando y es necesario hoy tomar las medidas preventivas y correctivas. El sol emite 3 tipos de radiaciones: Rayos UVA (ultra violeta A), UVB (ultravioleta B), y UVC (ultravioleta C), </w:t>
      </w:r>
      <w:r w:rsidRPr="00CA6F4C">
        <w:rPr>
          <w:rFonts w:ascii="Arial Narrow" w:hAnsi="Arial Narrow" w:cs="Arial"/>
          <w:color w:val="000000" w:themeColor="text1"/>
          <w:highlight w:val="red"/>
        </w:rPr>
        <w:t xml:space="preserve">Solo el 5% de la radiación solar que llega a la tierra es radiación UV, pero es muy potente. </w:t>
      </w:r>
    </w:p>
    <w:p w14:paraId="7C470125" w14:textId="77777777" w:rsidR="0064558A" w:rsidRPr="00CA6F4C"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highlight w:val="red"/>
        </w:rPr>
      </w:pPr>
      <w:r w:rsidRPr="00CA6F4C">
        <w:rPr>
          <w:rFonts w:ascii="Arial Narrow" w:hAnsi="Arial Narrow" w:cs="Arial"/>
          <w:color w:val="000000" w:themeColor="text1"/>
          <w:highlight w:val="red"/>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CA6F4C">
        <w:rPr>
          <w:rFonts w:ascii="Arial Narrow" w:hAnsi="Arial Narrow" w:cs="Arial"/>
          <w:color w:val="000000" w:themeColor="text1"/>
          <w:sz w:val="22"/>
          <w:szCs w:val="22"/>
          <w:highlight w:val="red"/>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Pr="003109D0">
        <w:rPr>
          <w:rFonts w:ascii="Arial Narrow" w:hAnsi="Arial Narrow" w:cs="Arial"/>
          <w:color w:val="000000" w:themeColor="text1"/>
          <w:sz w:val="22"/>
          <w:szCs w:val="22"/>
        </w:rPr>
        <w:t>:</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3FA79FA3" w:rsidR="003109D0" w:rsidRPr="003109D0" w:rsidRDefault="00CA6F4C"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sidRPr="00CA6F4C">
        <w:rPr>
          <w:rFonts w:ascii="Arial Narrow" w:hAnsi="Arial Narrow" w:cs="Arial"/>
          <w:color w:val="0070C0"/>
          <w:sz w:val="22"/>
          <w:szCs w:val="22"/>
          <w:lang w:val="es-PE"/>
        </w:rPr>
        <w:t>Evaluar las</w:t>
      </w:r>
      <w:r>
        <w:rPr>
          <w:rFonts w:ascii="Arial Narrow" w:hAnsi="Arial Narrow" w:cs="Arial"/>
          <w:color w:val="000000" w:themeColor="text1"/>
          <w:sz w:val="22"/>
          <w:szCs w:val="22"/>
          <w:lang w:val="es-PE"/>
        </w:rPr>
        <w:t xml:space="preserve"> </w:t>
      </w:r>
      <w:r w:rsidRPr="00CA6F4C">
        <w:rPr>
          <w:rFonts w:ascii="Arial Narrow" w:hAnsi="Arial Narrow" w:cs="Arial"/>
          <w:color w:val="0070C0"/>
          <w:sz w:val="22"/>
          <w:szCs w:val="22"/>
          <w:lang w:val="es-PE"/>
        </w:rPr>
        <w:t xml:space="preserve">condiciones de seguridad </w:t>
      </w:r>
      <w:r>
        <w:rPr>
          <w:rFonts w:ascii="Arial Narrow" w:hAnsi="Arial Narrow" w:cs="Arial"/>
          <w:color w:val="0070C0"/>
          <w:sz w:val="22"/>
          <w:szCs w:val="22"/>
          <w:lang w:val="es-PE"/>
        </w:rPr>
        <w:t xml:space="preserve">de orden estructural y no estructural del entorno del área de la </w:t>
      </w:r>
      <w:r w:rsidRPr="00CA6F4C">
        <w:rPr>
          <w:rFonts w:ascii="Arial Narrow" w:hAnsi="Arial Narrow"/>
          <w:color w:val="0070C0"/>
        </w:rPr>
        <w:t xml:space="preserve">CONSTRUCCIÓN DE MUROS DE CONTENCIÓN, REHABILITACIÓN DEL CERCO PERIMÉTRICO, INSTALACIÓN DE SISTEMA DE DRENAJE Y FORESTACIÓN EN LA </w:t>
      </w:r>
      <w:proofErr w:type="spellStart"/>
      <w:r w:rsidRPr="00CA6F4C">
        <w:rPr>
          <w:rFonts w:ascii="Arial Narrow" w:hAnsi="Arial Narrow"/>
          <w:color w:val="0070C0"/>
        </w:rPr>
        <w:t>IEI</w:t>
      </w:r>
      <w:proofErr w:type="spellEnd"/>
      <w:r w:rsidRPr="00CA6F4C">
        <w:rPr>
          <w:rFonts w:ascii="Arial Narrow" w:hAnsi="Arial Narrow"/>
          <w:color w:val="0070C0"/>
        </w:rPr>
        <w:t xml:space="preserve">. N° 181, </w:t>
      </w:r>
      <w:proofErr w:type="spellStart"/>
      <w:r w:rsidRPr="00CA6F4C">
        <w:rPr>
          <w:rFonts w:ascii="Arial Narrow" w:hAnsi="Arial Narrow"/>
          <w:color w:val="0070C0"/>
        </w:rPr>
        <w:t>IEP</w:t>
      </w:r>
      <w:proofErr w:type="spellEnd"/>
      <w:r w:rsidRPr="00CA6F4C">
        <w:rPr>
          <w:rFonts w:ascii="Arial Narrow" w:hAnsi="Arial Narrow"/>
          <w:color w:val="0070C0"/>
        </w:rPr>
        <w:t xml:space="preserve">. 54414, E IES "JUAN VELASCO ALVARADO" DE LA COMUNIDAD DE </w:t>
      </w:r>
      <w:proofErr w:type="spellStart"/>
      <w:r w:rsidRPr="00CA6F4C">
        <w:rPr>
          <w:rFonts w:ascii="Arial Narrow" w:hAnsi="Arial Narrow"/>
          <w:color w:val="0070C0"/>
        </w:rPr>
        <w:t>RECORD</w:t>
      </w:r>
      <w:proofErr w:type="spellEnd"/>
      <w:r w:rsidRPr="00CA6F4C">
        <w:rPr>
          <w:rFonts w:ascii="Arial Narrow" w:hAnsi="Arial Narrow"/>
          <w:color w:val="0070C0"/>
        </w:rPr>
        <w:t xml:space="preserve"> - </w:t>
      </w:r>
      <w:proofErr w:type="spellStart"/>
      <w:r w:rsidRPr="00CA6F4C">
        <w:rPr>
          <w:rFonts w:ascii="Arial Narrow" w:hAnsi="Arial Narrow"/>
          <w:color w:val="0070C0"/>
        </w:rPr>
        <w:t>CCONCCACCA</w:t>
      </w:r>
      <w:proofErr w:type="spellEnd"/>
      <w:r w:rsidRPr="00CA6F4C">
        <w:rPr>
          <w:rFonts w:ascii="Arial Narrow" w:hAnsi="Arial Narrow"/>
          <w:color w:val="0070C0"/>
        </w:rPr>
        <w:t>, PARA LA REDUCCIÓN DEL RIESGO DE DESASTRES, DISTRITO DE PROGRESO, PROVINCIA GRAU, DEPARTAMENTO - APURÍMAC</w:t>
      </w:r>
      <w:r w:rsidR="003109D0" w:rsidRPr="003109D0">
        <w:rPr>
          <w:rFonts w:ascii="Arial Narrow" w:hAnsi="Arial Narrow" w:cs="Arial"/>
          <w:color w:val="000000" w:themeColor="text1"/>
          <w:sz w:val="22"/>
          <w:szCs w:val="22"/>
          <w:lang w:val="es-PE"/>
        </w:rPr>
        <w:t>,</w:t>
      </w:r>
      <w:r>
        <w:rPr>
          <w:rFonts w:ascii="Arial Narrow" w:hAnsi="Arial Narrow" w:cs="Arial"/>
          <w:color w:val="000000" w:themeColor="text1"/>
          <w:sz w:val="22"/>
          <w:szCs w:val="22"/>
          <w:lang w:val="es-PE"/>
        </w:rPr>
        <w:t xml:space="preserve"> </w:t>
      </w:r>
      <w:proofErr w:type="spellStart"/>
      <w:r w:rsidRPr="00F6487C">
        <w:rPr>
          <w:rFonts w:ascii="Arial Narrow" w:hAnsi="Arial Narrow" w:cs="Arial"/>
          <w:color w:val="0070C0"/>
          <w:sz w:val="22"/>
          <w:szCs w:val="22"/>
          <w:lang w:val="es-PE"/>
        </w:rPr>
        <w:t>afin</w:t>
      </w:r>
      <w:proofErr w:type="spellEnd"/>
      <w:r w:rsidRPr="00F6487C">
        <w:rPr>
          <w:rFonts w:ascii="Arial Narrow" w:hAnsi="Arial Narrow" w:cs="Arial"/>
          <w:color w:val="0070C0"/>
          <w:sz w:val="22"/>
          <w:szCs w:val="22"/>
          <w:lang w:val="es-PE"/>
        </w:rPr>
        <w:t xml:space="preserve"> de identificar los peligros con lo cual se analizara la vulnerabilidad y se calculara el riesgo y que de ser factible la funcionalidad de las instituciones educativas</w:t>
      </w:r>
      <w:r w:rsidR="00F6487C">
        <w:rPr>
          <w:rFonts w:ascii="Arial Narrow" w:hAnsi="Arial Narrow" w:cs="Arial"/>
          <w:color w:val="000000" w:themeColor="text1"/>
          <w:sz w:val="22"/>
          <w:szCs w:val="22"/>
          <w:lang w:val="es-PE"/>
        </w:rPr>
        <w:t xml:space="preserve"> </w:t>
      </w:r>
      <w:r w:rsidR="00F6487C">
        <w:rPr>
          <w:rFonts w:ascii="Arial Narrow" w:hAnsi="Arial Narrow" w:cs="Arial"/>
          <w:color w:val="0070C0"/>
          <w:sz w:val="22"/>
          <w:szCs w:val="22"/>
          <w:lang w:val="es-PE"/>
        </w:rPr>
        <w:t>se verterán las recomendaciones pertinentes para la mitigación total de riesgos en el futuro.</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lastRenderedPageBreak/>
        <w:t>Específicos</w:t>
      </w:r>
    </w:p>
    <w:p w14:paraId="0033CACF" w14:textId="550E940E" w:rsidR="003109D0" w:rsidRPr="00F6487C" w:rsidRDefault="00F6487C"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sidRPr="00F6487C">
        <w:rPr>
          <w:rFonts w:ascii="Arial Narrow" w:hAnsi="Arial Narrow" w:cs="Arial"/>
          <w:color w:val="0070C0"/>
          <w:sz w:val="22"/>
          <w:szCs w:val="22"/>
          <w:lang w:val="es-PE"/>
        </w:rPr>
        <w:t xml:space="preserve">Identificar el peligro de origen natural y realizar el análisis de la vulnerabilidad </w:t>
      </w:r>
      <w:r>
        <w:rPr>
          <w:rFonts w:ascii="Arial Narrow" w:hAnsi="Arial Narrow" w:cs="Arial"/>
          <w:color w:val="0070C0"/>
          <w:sz w:val="22"/>
          <w:szCs w:val="22"/>
          <w:lang w:val="es-PE"/>
        </w:rPr>
        <w:t>.</w:t>
      </w:r>
    </w:p>
    <w:p w14:paraId="2B52C995" w14:textId="685F2D01" w:rsidR="00F6487C" w:rsidRPr="00F6487C" w:rsidRDefault="00F6487C"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70C0"/>
          <w:sz w:val="22"/>
          <w:szCs w:val="22"/>
          <w:lang w:val="es-PE"/>
        </w:rPr>
        <w:t>Permitir adoptar las medidas preventivas y de mitigación con la reducción de desastres  en la zona de erosión.</w:t>
      </w:r>
    </w:p>
    <w:p w14:paraId="264E5FCC" w14:textId="7006748B" w:rsidR="00F6487C" w:rsidRPr="00091CF4" w:rsidRDefault="00F6487C"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70C0"/>
          <w:sz w:val="22"/>
          <w:szCs w:val="22"/>
          <w:lang w:val="es-PE"/>
        </w:rPr>
        <w:t xml:space="preserve">Proporcionar una base para la planificación de las medidas de prevención </w:t>
      </w:r>
      <w:proofErr w:type="spellStart"/>
      <w:r>
        <w:rPr>
          <w:rFonts w:ascii="Arial Narrow" w:hAnsi="Arial Narrow" w:cs="Arial"/>
          <w:color w:val="0070C0"/>
          <w:sz w:val="22"/>
          <w:szCs w:val="22"/>
          <w:lang w:val="es-PE"/>
        </w:rPr>
        <w:t>especificas</w:t>
      </w:r>
      <w:proofErr w:type="spellEnd"/>
      <w:r w:rsidR="00091CF4">
        <w:rPr>
          <w:rFonts w:ascii="Arial Narrow" w:hAnsi="Arial Narrow" w:cs="Arial"/>
          <w:color w:val="0070C0"/>
          <w:sz w:val="22"/>
          <w:szCs w:val="22"/>
          <w:lang w:val="es-PE"/>
        </w:rPr>
        <w:t>,</w:t>
      </w:r>
      <w:r>
        <w:rPr>
          <w:rFonts w:ascii="Arial Narrow" w:hAnsi="Arial Narrow" w:cs="Arial"/>
          <w:color w:val="0070C0"/>
          <w:sz w:val="22"/>
          <w:szCs w:val="22"/>
          <w:lang w:val="es-PE"/>
        </w:rPr>
        <w:t xml:space="preserve"> en el área de </w:t>
      </w:r>
      <w:proofErr w:type="spellStart"/>
      <w:r>
        <w:rPr>
          <w:rFonts w:ascii="Arial Narrow" w:hAnsi="Arial Narrow" w:cs="Arial"/>
          <w:color w:val="0070C0"/>
          <w:sz w:val="22"/>
          <w:szCs w:val="22"/>
          <w:lang w:val="es-PE"/>
        </w:rPr>
        <w:t>estudio</w:t>
      </w:r>
      <w:r w:rsidR="00091CF4">
        <w:rPr>
          <w:rFonts w:ascii="Arial Narrow" w:hAnsi="Arial Narrow" w:cs="Arial"/>
          <w:color w:val="0070C0"/>
          <w:sz w:val="22"/>
          <w:szCs w:val="22"/>
          <w:lang w:val="es-PE"/>
        </w:rPr>
        <w:t>,reducción</w:t>
      </w:r>
      <w:proofErr w:type="spellEnd"/>
      <w:r w:rsidR="00091CF4">
        <w:rPr>
          <w:rFonts w:ascii="Arial Narrow" w:hAnsi="Arial Narrow" w:cs="Arial"/>
          <w:color w:val="0070C0"/>
          <w:sz w:val="22"/>
          <w:szCs w:val="22"/>
          <w:lang w:val="es-PE"/>
        </w:rPr>
        <w:t xml:space="preserve"> de vulnerabilidad.</w:t>
      </w:r>
    </w:p>
    <w:p w14:paraId="42B1E046" w14:textId="0515811A" w:rsidR="00091CF4" w:rsidRPr="003109D0" w:rsidRDefault="00091CF4"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70C0"/>
          <w:sz w:val="22"/>
          <w:szCs w:val="22"/>
          <w:lang w:val="es-PE"/>
        </w:rPr>
        <w:t xml:space="preserve">Diseñas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4" w:name="_Hlk40771906"/>
      <w:r w:rsidR="005F2D7F" w:rsidRPr="00633ABF">
        <w:rPr>
          <w:rFonts w:ascii="Arial Narrow" w:hAnsi="Arial Narrow" w:cs="Arial"/>
          <w:highlight w:val="red"/>
          <w:lang w:val="es-ES"/>
        </w:rPr>
        <w:t xml:space="preserve">S/. </w:t>
      </w:r>
      <w:r w:rsidR="00056692" w:rsidRPr="00633ABF">
        <w:rPr>
          <w:rFonts w:ascii="Arial Narrow" w:hAnsi="Arial Narrow" w:cs="Arial"/>
          <w:highlight w:val="red"/>
          <w:lang w:val="es-ES"/>
        </w:rPr>
        <w:t>369,</w:t>
      </w:r>
      <w:r w:rsidR="00A031B6" w:rsidRPr="00633ABF">
        <w:rPr>
          <w:rFonts w:ascii="Arial Narrow" w:hAnsi="Arial Narrow" w:cs="Arial"/>
          <w:highlight w:val="red"/>
          <w:lang w:val="es-ES"/>
        </w:rPr>
        <w:t>8</w:t>
      </w:r>
      <w:r w:rsidR="00056692" w:rsidRPr="00633ABF">
        <w:rPr>
          <w:rFonts w:ascii="Arial Narrow" w:hAnsi="Arial Narrow" w:cs="Arial"/>
          <w:highlight w:val="red"/>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4"/>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633ABF">
        <w:rPr>
          <w:rFonts w:ascii="Arial Narrow" w:hAnsi="Arial Narrow"/>
          <w:highlight w:val="red"/>
        </w:rPr>
        <w:t xml:space="preserve">S/. </w:t>
      </w:r>
      <w:r w:rsidR="00433944" w:rsidRPr="00633ABF">
        <w:rPr>
          <w:rFonts w:ascii="Arial Narrow" w:hAnsi="Arial Narrow"/>
          <w:b/>
          <w:highlight w:val="red"/>
        </w:rPr>
        <w:t>3</w:t>
      </w:r>
      <w:r w:rsidR="00056692" w:rsidRPr="00633ABF">
        <w:rPr>
          <w:rFonts w:ascii="Arial Narrow" w:hAnsi="Arial Narrow"/>
          <w:b/>
          <w:highlight w:val="red"/>
        </w:rPr>
        <w:t>69,</w:t>
      </w:r>
      <w:r w:rsidR="00A031B6" w:rsidRPr="00633ABF">
        <w:rPr>
          <w:rFonts w:ascii="Arial Narrow" w:hAnsi="Arial Narrow"/>
          <w:b/>
          <w:highlight w:val="red"/>
        </w:rPr>
        <w:t>8</w:t>
      </w:r>
      <w:r w:rsidR="00056692" w:rsidRPr="00633ABF">
        <w:rPr>
          <w:rFonts w:ascii="Arial Narrow" w:hAnsi="Arial Narrow"/>
          <w:b/>
          <w:highlight w:val="red"/>
        </w:rPr>
        <w:t>53.65</w:t>
      </w:r>
      <w:r w:rsidRPr="00633ABF">
        <w:rPr>
          <w:rFonts w:ascii="Arial Narrow" w:hAnsi="Arial Narrow"/>
          <w:b/>
          <w:highlight w:val="red"/>
        </w:rPr>
        <w:t xml:space="preserve"> </w:t>
      </w:r>
      <w:r w:rsidR="00367160" w:rsidRPr="00633ABF">
        <w:rPr>
          <w:rFonts w:ascii="Arial Narrow" w:hAnsi="Arial Narrow"/>
          <w:highlight w:val="red"/>
        </w:rPr>
        <w:t xml:space="preserve">a </w:t>
      </w:r>
      <w:r w:rsidR="00262B69" w:rsidRPr="00633ABF">
        <w:rPr>
          <w:rFonts w:ascii="Arial Narrow" w:hAnsi="Arial Narrow"/>
          <w:highlight w:val="red"/>
        </w:rPr>
        <w:t>julio</w:t>
      </w:r>
      <w:r w:rsidRPr="00633ABF">
        <w:rPr>
          <w:rFonts w:ascii="Arial Narrow" w:hAnsi="Arial Narrow"/>
          <w:highlight w:val="red"/>
        </w:rPr>
        <w:t xml:space="preserve"> </w:t>
      </w:r>
      <w:r w:rsidR="00367160" w:rsidRPr="00633ABF">
        <w:rPr>
          <w:rFonts w:ascii="Arial Narrow" w:hAnsi="Arial Narrow"/>
          <w:highlight w:val="red"/>
        </w:rPr>
        <w:t>d</w:t>
      </w:r>
      <w:r w:rsidRPr="00633ABF">
        <w:rPr>
          <w:rFonts w:ascii="Arial Narrow" w:hAnsi="Arial Narrow"/>
          <w:highlight w:val="red"/>
        </w:rPr>
        <w:t>el 20</w:t>
      </w:r>
      <w:r w:rsidR="005C1EF0" w:rsidRPr="00633ABF">
        <w:rPr>
          <w:rFonts w:ascii="Arial Narrow" w:hAnsi="Arial Narrow"/>
          <w:highlight w:val="red"/>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bookmarkStart w:id="5" w:name="_Hlk46387775"/>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lastRenderedPageBreak/>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bookmarkEnd w:id="5"/>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Metrado</w:t>
                  </w:r>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CANALETA METALICA RECTANGULAR  EVACUACION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6"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lastRenderedPageBreak/>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43FCB8F3" w:rsidR="00F10896" w:rsidRPr="00633ABF"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97.48</w:t>
            </w:r>
            <w:r w:rsidR="00F10896" w:rsidRPr="00633ABF">
              <w:rPr>
                <w:rFonts w:ascii="Arial" w:hAnsi="Arial" w:cs="Arial"/>
                <w:color w:val="000000"/>
                <w:highlight w:val="red"/>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622.46</w:t>
            </w:r>
            <w:r w:rsidR="00F10896" w:rsidRPr="00633ABF">
              <w:rPr>
                <w:rFonts w:ascii="Arial" w:hAnsi="Arial" w:cs="Arial"/>
                <w:color w:val="000000"/>
                <w:highlight w:val="red"/>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7" w:name="_Toc9594559"/>
      <w:bookmarkStart w:id="8"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7"/>
      <w:bookmarkEnd w:id="8"/>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9" w:name="_Hlk46127533"/>
      <w:bookmarkStart w:id="10"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6"/>
    <w:bookmarkEnd w:id="9"/>
    <w:bookmarkEnd w:id="10"/>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1BB99" w14:textId="77777777" w:rsidR="00E5780E" w:rsidRDefault="00E5780E" w:rsidP="004522EF">
      <w:pPr>
        <w:spacing w:after="0" w:line="240" w:lineRule="auto"/>
      </w:pPr>
      <w:r>
        <w:separator/>
      </w:r>
    </w:p>
  </w:endnote>
  <w:endnote w:type="continuationSeparator" w:id="0">
    <w:p w14:paraId="2923EE3A" w14:textId="77777777" w:rsidR="00E5780E" w:rsidRDefault="00E5780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9A3006" w:rsidRPr="00315CA4" w:rsidRDefault="009A3006"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9A3006" w:rsidRPr="00595BCB" w:rsidRDefault="009A3006"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1" w:name="_Hlk40771312"/>
    <w:r>
      <w:rPr>
        <w:rFonts w:ascii="Arial" w:hAnsi="Arial" w:cs="Arial"/>
        <w:sz w:val="14"/>
        <w:szCs w:val="16"/>
      </w:rPr>
      <w:t xml:space="preserve">N°. </w:t>
    </w:r>
    <w:bookmarkEnd w:id="11"/>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9A3006" w:rsidRPr="00B07537" w:rsidRDefault="009A3006"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9A3006" w:rsidRDefault="009A30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B5E1" w14:textId="77777777" w:rsidR="00E5780E" w:rsidRDefault="00E5780E" w:rsidP="004522EF">
      <w:pPr>
        <w:spacing w:after="0" w:line="240" w:lineRule="auto"/>
      </w:pPr>
      <w:r>
        <w:separator/>
      </w:r>
    </w:p>
  </w:footnote>
  <w:footnote w:type="continuationSeparator" w:id="0">
    <w:p w14:paraId="1448909D" w14:textId="77777777" w:rsidR="00E5780E" w:rsidRDefault="00E5780E"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9A3006" w:rsidRDefault="009A3006"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9A3006" w:rsidRDefault="009A3006"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9A3006" w:rsidRPr="00A26C74" w:rsidRDefault="009A3006"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9A3006" w:rsidRPr="00570136" w:rsidRDefault="009A3006"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1CF4"/>
    <w:rsid w:val="00094958"/>
    <w:rsid w:val="000977C7"/>
    <w:rsid w:val="000B52A0"/>
    <w:rsid w:val="000B7533"/>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85220"/>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3640D"/>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3006"/>
    <w:rsid w:val="009A5B67"/>
    <w:rsid w:val="009A7109"/>
    <w:rsid w:val="009C0955"/>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2843"/>
    <w:rsid w:val="00B579B6"/>
    <w:rsid w:val="00B57CFD"/>
    <w:rsid w:val="00B6029D"/>
    <w:rsid w:val="00B66B21"/>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A6F4C"/>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5780E"/>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487C"/>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7</Pages>
  <Words>2577</Words>
  <Characters>14178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INVERSIONES GUERRERO</cp:lastModifiedBy>
  <cp:revision>20</cp:revision>
  <cp:lastPrinted>2020-07-23T18:20:00Z</cp:lastPrinted>
  <dcterms:created xsi:type="dcterms:W3CDTF">2020-05-19T13:59:00Z</dcterms:created>
  <dcterms:modified xsi:type="dcterms:W3CDTF">2020-08-28T14:52:00Z</dcterms:modified>
</cp:coreProperties>
</file>