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tLeast" w:line="0" w:before="0" w:after="255"/>
        <w:jc w:val="start"/>
        <w:rPr>
          <w:rFonts w:ascii="Liberation Sans" w:hAnsi="Liberation Sans"/>
          <w:b/>
          <w:i w:val="false"/>
          <w:color w:val="2F8F5C"/>
          <w:sz w:val="20"/>
        </w:rPr>
      </w:pPr>
      <w:r>
        <w:rPr>
          <w:b/>
          <w:i w:val="false"/>
          <w:color w:val="2F8F5C"/>
          <w:sz w:val="20"/>
        </w:rPr>
        <w:t>ESTRATEGIA DE NEGOCIO · 2026</w:t>
      </w:r>
    </w:p>
    <w:p>
      <w:pPr>
        <w:pStyle w:val="Normal"/>
        <w:bidi w:val="0"/>
        <w:spacing w:lineRule="atLeast" w:line="0" w:before="0" w:after="255"/>
        <w:jc w:val="center"/>
        <w:rPr>
          <w:rFonts w:ascii="Liberation Sans" w:hAnsi="Liberation Sans"/>
          <w:b/>
          <w:i w:val="false"/>
          <w:color w:val="2F8F5C"/>
          <w:sz w:val="20"/>
        </w:rPr>
      </w:pPr>
      <w:r>
        <w:rPr>
          <w:b/>
          <w:i w:val="false"/>
          <w:color w:val="2F8F5C"/>
          <w:sz w:val="20"/>
        </w:rPr>
        <w:drawing>
          <wp:inline distT="0" distB="0" distL="0" distR="0">
            <wp:extent cx="3060065" cy="96075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060065" cy="960755"/>
                    </a:xfrm>
                    <a:prstGeom prst="rect">
                      <a:avLst/>
                    </a:prstGeom>
                    <a:noFill/>
                  </pic:spPr>
                </pic:pic>
              </a:graphicData>
            </a:graphic>
          </wp:inline>
        </w:drawing>
      </w:r>
    </w:p>
    <w:p>
      <w:pPr>
        <w:pStyle w:val="Normal"/>
        <w:bidi w:val="0"/>
        <w:spacing w:lineRule="atLeast" w:line="0" w:before="227" w:after="147"/>
        <w:jc w:val="start"/>
        <w:rPr>
          <w:rFonts w:ascii="Liberation Sans" w:hAnsi="Liberation Sans"/>
          <w:b/>
          <w:i w:val="false"/>
          <w:color w:val="1B221F"/>
          <w:sz w:val="50"/>
        </w:rPr>
      </w:pPr>
      <w:r>
        <w:rPr>
          <w:b/>
          <w:i w:val="false"/>
          <w:color w:val="1B221F"/>
          <w:sz w:val="50"/>
        </w:rPr>
        <w:t>Modelo de ingresos, mercado y plan de validación</w:t>
      </w:r>
    </w:p>
    <w:p>
      <w:pPr>
        <w:pStyle w:val="Normal"/>
        <w:bidi w:val="0"/>
        <w:spacing w:lineRule="atLeast" w:line="0" w:before="0" w:after="312"/>
        <w:jc w:val="start"/>
        <w:rPr>
          <w:rFonts w:ascii="Liberation Sans" w:hAnsi="Liberation Sans"/>
          <w:b w:val="false"/>
          <w:i w:val="false"/>
          <w:color w:val="66706B"/>
          <w:sz w:val="27"/>
        </w:rPr>
      </w:pPr>
      <w:r>
        <w:rPr>
          <w:b w:val="false"/>
          <w:i w:val="false"/>
          <w:color w:val="66706B"/>
          <w:sz w:val="27"/>
        </w:rPr>
        <w:t>Una propuesta sostenible para convertir la reducción del desperdicio alimentario en valor para hogares y supermercados.</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32"/>
              </w:rPr>
            </w:pPr>
            <w:r>
              <w:rPr>
                <w:b/>
                <w:color w:val="1F6B43"/>
                <w:sz w:val="32"/>
              </w:rPr>
              <w:t>Cuidá tu heladera, cuidá tu plata</w:t>
            </w:r>
          </w:p>
        </w:tc>
      </w:tr>
    </w:tbl>
    <w:p>
      <w:pPr>
        <w:pStyle w:val="Normal"/>
        <w:bidi w:val="0"/>
        <w:spacing w:lineRule="atLeast" w:line="0" w:before="0" w:after="312"/>
        <w:jc w:val="start"/>
        <w:rPr>
          <w:rFonts w:ascii="Liberation Sans" w:hAnsi="Liberation Sans"/>
          <w:b w:val="false"/>
          <w:i w:val="false"/>
          <w:color w:val="66706B"/>
          <w:sz w:val="27"/>
        </w:rPr>
      </w:pPr>
      <w:r>
        <w:rPr>
          <w:b w:val="false"/>
          <w:i w:val="false"/>
          <w:color w:val="66706B"/>
          <w:sz w:val="27"/>
        </w:rPr>
      </w:r>
    </w:p>
    <w:p>
      <w:pPr>
        <w:pStyle w:val="Normal"/>
        <w:bidi w:val="0"/>
        <w:spacing w:lineRule="atLeast" w:line="0" w:before="397" w:after="74"/>
        <w:jc w:val="start"/>
        <w:rPr>
          <w:rFonts w:ascii="Liberation Sans" w:hAnsi="Liberation Sans"/>
          <w:b w:val="false"/>
          <w:i w:val="false"/>
          <w:color w:val="66706B"/>
          <w:sz w:val="21"/>
        </w:rPr>
      </w:pPr>
      <w:r>
        <w:rPr>
          <w:b w:val="false"/>
          <w:i w:val="false"/>
          <w:color w:val="66706B"/>
          <w:sz w:val="21"/>
        </w:rPr>
        <w:t>Materia: ______________________________</w:t>
      </w:r>
    </w:p>
    <w:p>
      <w:pPr>
        <w:pStyle w:val="Normal"/>
        <w:bidi w:val="0"/>
        <w:spacing w:lineRule="atLeast" w:line="0" w:before="0" w:after="74"/>
        <w:jc w:val="start"/>
        <w:rPr>
          <w:rFonts w:ascii="Liberation Sans" w:hAnsi="Liberation Sans"/>
          <w:b w:val="false"/>
          <w:i w:val="false"/>
          <w:color w:val="66706B"/>
          <w:sz w:val="21"/>
        </w:rPr>
      </w:pPr>
      <w:r>
        <w:rPr>
          <w:b w:val="false"/>
          <w:i w:val="false"/>
          <w:color w:val="66706B"/>
          <w:sz w:val="21"/>
        </w:rPr>
        <w:t>Docente: ______________________________</w:t>
      </w:r>
    </w:p>
    <w:p>
      <w:pPr>
        <w:pStyle w:val="Normal"/>
        <w:bidi w:val="0"/>
        <w:spacing w:lineRule="atLeast" w:line="0" w:before="0" w:after="74"/>
        <w:jc w:val="start"/>
        <w:rPr>
          <w:rFonts w:ascii="Liberation Sans" w:hAnsi="Liberation Sans"/>
          <w:b w:val="false"/>
          <w:i w:val="false"/>
          <w:color w:val="66706B"/>
          <w:sz w:val="21"/>
        </w:rPr>
      </w:pPr>
      <w:r>
        <w:rPr>
          <w:b w:val="false"/>
          <w:i w:val="false"/>
          <w:color w:val="66706B"/>
          <w:sz w:val="21"/>
        </w:rPr>
        <w:t>Integrantes: ___________________________</w:t>
      </w:r>
    </w:p>
    <w:p>
      <w:pPr>
        <w:pStyle w:val="Normal"/>
        <w:bidi w:val="0"/>
        <w:spacing w:lineRule="atLeast" w:line="0" w:before="0" w:after="142"/>
        <w:jc w:val="start"/>
        <w:rPr>
          <w:rFonts w:ascii="Liberation Sans" w:hAnsi="Liberation Sans"/>
          <w:b w:val="false"/>
          <w:i w:val="false"/>
          <w:color w:val="66706B"/>
          <w:sz w:val="21"/>
        </w:rPr>
      </w:pPr>
      <w:r>
        <w:rPr>
          <w:b w:val="false"/>
          <w:i w:val="false"/>
          <w:color w:val="66706B"/>
          <w:sz w:val="21"/>
        </w:rPr>
        <w:t>Fecha: _________________________________</w:t>
      </w:r>
    </w:p>
    <w:p>
      <w:pPr>
        <w:pStyle w:val="Normal"/>
        <w:bidi w:val="0"/>
        <w:spacing w:lineRule="atLeast" w:line="0" w:before="0" w:after="102"/>
        <w:jc w:val="start"/>
        <w:rPr>
          <w:rFonts w:ascii="Liberation Sans" w:hAnsi="Liberation Sans"/>
          <w:b w:val="false"/>
          <w:i w:val="false"/>
          <w:color w:val="8A938E"/>
          <w:sz w:val="17"/>
        </w:rPr>
      </w:pPr>
      <w:r>
        <w:rPr>
          <w:b w:val="false"/>
          <w:i w:val="false"/>
          <w:color w:val="8A938E"/>
          <w:sz w:val="17"/>
        </w:rPr>
        <w:t>Documento académico · Cifras monetarias expresadas en USD</w:t>
      </w:r>
      <w:r>
        <w:br w:type="page"/>
      </w:r>
    </w:p>
    <w:p>
      <w:pPr>
        <w:pStyle w:val="Normal"/>
        <w:bidi w:val="0"/>
        <w:spacing w:lineRule="atLeast" w:line="0" w:before="0" w:after="102"/>
        <w:jc w:val="start"/>
        <w:rPr>
          <w:rFonts w:ascii="Liberation Sans" w:hAnsi="Liberation Sans"/>
          <w:b w:val="false"/>
          <w:i w:val="false"/>
          <w:color w:val="8A938E"/>
          <w:sz w:val="17"/>
        </w:rPr>
      </w:pPr>
      <w:r>
        <w:rPr>
          <w:b w:val="false"/>
          <w:i w:val="false"/>
          <w:color w:val="8A938E"/>
          <w:sz w:val="17"/>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1. Resumen ejecutivo</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FoodSense es una PWA mobile-first para adultos urbanos de Argentina que organiza la despensa, prioriza productos próximos a vencer y acompaña al usuario con alertas preventivas. Su promesa combina ahorro económico, menor desperdicio y una experiencia cotidiana sin culpa ni fricción innecesaria.</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La recomendación es un modelo híbrido. El núcleo gratuito permite construir el hábito; FoodSense Plus monetiza automatización y colaboración familiar; y FoodSense Partners permite que supermercados financien el servicio como herramienta de fidelización e impacto ambiental.</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26"/>
              </w:rPr>
            </w:pPr>
            <w:r>
              <w:rPr>
                <w:b/>
                <w:color w:val="1F6B43"/>
                <w:sz w:val="26"/>
              </w:rPr>
              <w:t>Modelo recomendado: freemium familiar + acuerdos B2B2C con supermercados</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El problema en cifras</w:t>
      </w:r>
    </w:p>
    <w:tbl>
      <w:tblPr>
        <w:tblW w:w="5000" w:type="pct"/>
        <w:jc w:val="start"/>
        <w:tblInd w:w="-5" w:type="dxa"/>
        <w:shd w:fill="FFFFFF" w:val="clear"/>
        <w:tblLayout w:type="fixed"/>
        <w:tblCellMar>
          <w:top w:w="55" w:type="dxa"/>
          <w:start w:w="55" w:type="dxa"/>
          <w:bottom w:w="55" w:type="dxa"/>
          <w:end w:w="55" w:type="dxa"/>
        </w:tblCellMar>
      </w:tblPr>
      <w:tblGrid>
        <w:gridCol w:w="2778"/>
        <w:gridCol w:w="2182"/>
        <w:gridCol w:w="4962"/>
      </w:tblGrid>
      <w:tr>
        <w:trPr/>
        <w:tc>
          <w:tcPr>
            <w:tcW w:w="2778"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Indicador</w:t>
            </w:r>
          </w:p>
        </w:tc>
        <w:tc>
          <w:tcPr>
            <w:tcW w:w="2182"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Resultado</w:t>
            </w:r>
          </w:p>
        </w:tc>
        <w:tc>
          <w:tcPr>
            <w:tcW w:w="4962"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Lectura</w:t>
            </w:r>
          </w:p>
        </w:tc>
      </w:tr>
      <w:tr>
        <w:trPr/>
        <w:tc>
          <w:tcPr>
            <w:tcW w:w="277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Desperdicio por persona</w:t>
            </w:r>
          </w:p>
        </w:tc>
        <w:tc>
          <w:tcPr>
            <w:tcW w:w="21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71,9 kg/año</w:t>
            </w:r>
          </w:p>
        </w:tc>
        <w:tc>
          <w:tcPr>
            <w:tcW w:w="496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Primera medición argentina en hogares urbanos</w:t>
            </w:r>
          </w:p>
        </w:tc>
      </w:tr>
      <w:tr>
        <w:trPr/>
        <w:tc>
          <w:tcPr>
            <w:tcW w:w="277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Desperdicio por hogar</w:t>
            </w:r>
          </w:p>
        </w:tc>
        <w:tc>
          <w:tcPr>
            <w:tcW w:w="21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198 kg/año</w:t>
            </w:r>
          </w:p>
        </w:tc>
        <w:tc>
          <w:tcPr>
            <w:tcW w:w="496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Volumen suficiente para justificar prevención y seguimiento</w:t>
            </w:r>
          </w:p>
        </w:tc>
      </w:tr>
      <w:tr>
        <w:trPr/>
        <w:tc>
          <w:tcPr>
            <w:tcW w:w="277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Acceso a internet urbano</w:t>
            </w:r>
          </w:p>
        </w:tc>
        <w:tc>
          <w:tcPr>
            <w:tcW w:w="21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93,7%</w:t>
            </w:r>
          </w:p>
        </w:tc>
        <w:tc>
          <w:tcPr>
            <w:tcW w:w="496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La propuesta digital tiene alcance potencial amplio</w:t>
            </w:r>
          </w:p>
        </w:tc>
      </w:tr>
    </w:tbl>
    <w:p>
      <w:pPr>
        <w:pStyle w:val="Normal"/>
        <w:bidi w:val="0"/>
        <w:spacing w:lineRule="atLeast" w:line="0" w:before="57" w:after="57"/>
        <w:jc w:val="start"/>
        <w:rPr>
          <w:rFonts w:ascii="Liberation Sans" w:hAnsi="Liberation Sans"/>
          <w:b/>
          <w:i w:val="false"/>
          <w:color w:val="1B221F"/>
          <w:sz w:val="25"/>
        </w:rPr>
      </w:pPr>
      <w:r>
        <w:rPr>
          <w:b/>
          <w:i w:val="false"/>
          <w:color w:val="1B221F"/>
          <w:sz w:val="25"/>
        </w:rPr>
      </w:r>
    </w:p>
    <w:p>
      <w:pPr>
        <w:pStyle w:val="Normal"/>
        <w:bidi w:val="0"/>
        <w:spacing w:lineRule="atLeast" w:line="0" w:before="0" w:after="102"/>
        <w:jc w:val="start"/>
        <w:rPr>
          <w:rFonts w:ascii="Liberation Sans" w:hAnsi="Liberation Sans"/>
          <w:b w:val="false"/>
          <w:i/>
          <w:color w:val="66706B"/>
          <w:sz w:val="18"/>
        </w:rPr>
      </w:pPr>
      <w:r>
        <w:rPr>
          <w:b w:val="false"/>
          <w:i/>
          <w:color w:val="66706B"/>
          <w:sz w:val="18"/>
        </w:rPr>
        <w:t>Estos datos describen volumen, no ahorro monetario directo. La valuación económica del desperdicio deberá validarse con tickets o precios aportados por usuarios; no se presenta como un dato observado.</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Criterio estratégico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Mantener gratis las alertas esenciales: son el corazón del propósito y del hábito.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Cobrar por ahorro de tiempo, automatización, colaboración y análisis avanzado.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No depender de publicidad invasiva ni de la venta de datos personales.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Tratar las proyecciones como hipótesis de negocio sujetas a experimentación.</w:t>
      </w:r>
      <w:r>
        <w:br w:type="page"/>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2. Producto actual y roadmap</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La monetización propuesta parte de capacidades existentes, pero reserva las funciones de mayor automatización para una evolución posterior. Esta separación evita presentar como terminado aquello que todavía pertenece al roadmap.</w:t>
      </w:r>
    </w:p>
    <w:tbl>
      <w:tblPr>
        <w:tblW w:w="5000" w:type="pct"/>
        <w:jc w:val="start"/>
        <w:tblInd w:w="-5" w:type="dxa"/>
        <w:shd w:fill="FFFFFF" w:val="clear"/>
        <w:tblLayout w:type="fixed"/>
        <w:tblCellMar>
          <w:top w:w="55" w:type="dxa"/>
          <w:start w:w="55" w:type="dxa"/>
          <w:bottom w:w="55" w:type="dxa"/>
          <w:end w:w="55" w:type="dxa"/>
        </w:tblCellMar>
      </w:tblPr>
      <w:tblGrid>
        <w:gridCol w:w="4961"/>
        <w:gridCol w:w="4961"/>
      </w:tblGrid>
      <w:tr>
        <w:trPr/>
        <w:tc>
          <w:tcPr>
            <w:tcW w:w="4961"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Disponible en el producto</w:t>
            </w:r>
          </w:p>
        </w:tc>
        <w:tc>
          <w:tcPr>
            <w:tcW w:w="4961"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Roadmap comercial</w:t>
            </w:r>
          </w:p>
        </w:tc>
      </w:tr>
      <w:tr>
        <w:trPr/>
        <w:tc>
          <w:tcPr>
            <w:tcW w:w="496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Inventario ordenado por urgencia</w:t>
            </w:r>
          </w:p>
        </w:tc>
        <w:tc>
          <w:tcPr>
            <w:tcW w:w="496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OCR de tickets e ingreso masivo</w:t>
            </w:r>
          </w:p>
        </w:tc>
      </w:tr>
      <w:tr>
        <w:trPr/>
        <w:tc>
          <w:tcPr>
            <w:tcW w:w="496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Carga manual y código de barras</w:t>
            </w:r>
          </w:p>
        </w:tc>
        <w:tc>
          <w:tcPr>
            <w:tcW w:w="496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Hogar compartido y sincronización familiar</w:t>
            </w:r>
          </w:p>
        </w:tc>
      </w:tr>
      <w:tr>
        <w:trPr/>
        <w:tc>
          <w:tcPr>
            <w:tcW w:w="496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Alertas y notificaciones push</w:t>
            </w:r>
          </w:p>
        </w:tc>
        <w:tc>
          <w:tcPr>
            <w:tcW w:w="496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Recetas con productos próximos a vencer</w:t>
            </w:r>
          </w:p>
        </w:tc>
      </w:tr>
      <w:tr>
        <w:trPr/>
        <w:tc>
          <w:tcPr>
            <w:tcW w:w="496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Dashboard y métricas básicas</w:t>
            </w:r>
          </w:p>
        </w:tc>
        <w:tc>
          <w:tcPr>
            <w:tcW w:w="496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Reportes de ahorro, categorías e impacto</w:t>
            </w:r>
          </w:p>
        </w:tc>
      </w:tr>
      <w:tr>
        <w:trPr/>
        <w:tc>
          <w:tcPr>
            <w:tcW w:w="496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Autenticación y perfil</w:t>
            </w:r>
          </w:p>
        </w:tc>
        <w:tc>
          <w:tcPr>
            <w:tcW w:w="496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Lista de compras automática</w:t>
            </w:r>
          </w:p>
        </w:tc>
      </w:tr>
      <w:tr>
        <w:trPr/>
        <w:tc>
          <w:tcPr>
            <w:tcW w:w="496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Acciones mediante voz</w:t>
            </w:r>
          </w:p>
        </w:tc>
        <w:tc>
          <w:tcPr>
            <w:tcW w:w="496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Canales adicionales y automatizaciones</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0" w:after="102"/>
        <w:jc w:val="center"/>
        <w:rPr>
          <w:rFonts w:ascii="Liberation Sans" w:hAnsi="Liberation Sans"/>
          <w:b w:val="false"/>
          <w:i w:val="false"/>
          <w:color w:val="1B221F"/>
          <w:sz w:val="21"/>
        </w:rPr>
      </w:pPr>
      <w:r>
        <w:rPr>
          <w:b w:val="false"/>
          <w:i w:val="false"/>
          <w:color w:val="1B221F"/>
          <w:sz w:val="21"/>
        </w:rPr>
        <w:drawing>
          <wp:inline distT="0" distB="0" distL="0" distR="0">
            <wp:extent cx="6120130" cy="236029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2360295"/>
                    </a:xfrm>
                    <a:prstGeom prst="rect">
                      <a:avLst/>
                    </a:prstGeom>
                    <a:noFill/>
                  </pic:spPr>
                </pic:pic>
              </a:graphicData>
            </a:graphic>
          </wp:inline>
        </w:drawing>
      </w:r>
    </w:p>
    <w:p>
      <w:pPr>
        <w:pStyle w:val="Normal"/>
        <w:bidi w:val="0"/>
        <w:spacing w:lineRule="atLeast" w:line="0" w:before="0" w:after="91"/>
        <w:jc w:val="center"/>
        <w:rPr>
          <w:rFonts w:ascii="Liberation Sans" w:hAnsi="Liberation Sans"/>
          <w:b w:val="false"/>
          <w:i/>
          <w:color w:val="8A938E"/>
          <w:sz w:val="16"/>
        </w:rPr>
      </w:pPr>
      <w:r>
        <w:rPr>
          <w:b w:val="false"/>
          <w:i/>
          <w:color w:val="8A938E"/>
          <w:sz w:val="16"/>
        </w:rPr>
        <w:t>Pantallas principales del diseño hi-fi de FoodSense: dashboard, despensa, detalle y alertas. Fuente: repositorio del proyecto.</w:t>
      </w:r>
    </w:p>
    <w:p>
      <w:pPr>
        <w:pStyle w:val="Normal"/>
        <w:bidi w:val="0"/>
        <w:spacing w:lineRule="atLeast" w:line="0" w:before="0" w:after="102"/>
        <w:jc w:val="start"/>
        <w:rPr>
          <w:rFonts w:ascii="Liberation Sans" w:hAnsi="Liberation Sans"/>
          <w:b/>
          <w:i w:val="false"/>
          <w:color w:val="1F6B43"/>
          <w:sz w:val="20"/>
        </w:rPr>
      </w:pPr>
      <w:r>
        <w:rPr>
          <w:b/>
          <w:i w:val="false"/>
          <w:color w:val="1F6B43"/>
          <w:sz w:val="20"/>
        </w:rPr>
        <w:t>Implicancia de negocio: el plan gratuito demuestra valor de inmediato; el premium reduce el trabajo manual y convierte el uso individual en una herramienta familiar recurrente.</w:t>
      </w:r>
      <w:r>
        <w:br w:type="page"/>
      </w:r>
    </w:p>
    <w:p>
      <w:pPr>
        <w:pStyle w:val="Normal"/>
        <w:bidi w:val="0"/>
        <w:spacing w:lineRule="atLeast" w:line="0" w:before="0" w:after="102"/>
        <w:jc w:val="start"/>
        <w:rPr>
          <w:rFonts w:ascii="Liberation Sans" w:hAnsi="Liberation Sans"/>
          <w:b/>
          <w:i w:val="false"/>
          <w:color w:val="1F6B43"/>
          <w:sz w:val="20"/>
        </w:rPr>
      </w:pPr>
      <w:r>
        <w:rPr>
          <w:b/>
          <w:i w:val="false"/>
          <w:color w:val="1F6B43"/>
          <w:sz w:val="20"/>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3. Segmento y propuesta de valor</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Segmento prioritario — hipótesis</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Adultos de 25 a 45 años, residentes en centros urbanos argentinos, que realizan u organizan compras del hogar, usan el celular cotidianamente y sienten frustración al encontrar alimentos vencidos o comprar productos duplicados. La edad es una hipótesis de foco comercial, no un resultado de investigación del proyecto.</w:t>
      </w:r>
    </w:p>
    <w:tbl>
      <w:tblPr>
        <w:tblW w:w="5000" w:type="pct"/>
        <w:jc w:val="start"/>
        <w:tblInd w:w="-5" w:type="dxa"/>
        <w:shd w:fill="FFFFFF" w:val="clear"/>
        <w:tblLayout w:type="fixed"/>
        <w:tblCellMar>
          <w:top w:w="55" w:type="dxa"/>
          <w:start w:w="55" w:type="dxa"/>
          <w:bottom w:w="55" w:type="dxa"/>
          <w:end w:w="55" w:type="dxa"/>
        </w:tblCellMar>
      </w:tblPr>
      <w:tblGrid>
        <w:gridCol w:w="2480"/>
        <w:gridCol w:w="7442"/>
      </w:tblGrid>
      <w:tr>
        <w:trPr/>
        <w:tc>
          <w:tcPr>
            <w:tcW w:w="2480"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Persona</w:t>
            </w:r>
          </w:p>
        </w:tc>
        <w:tc>
          <w:tcPr>
            <w:tcW w:w="7442"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Mariana, 34 años</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color w:val="1B221F"/>
                <w:sz w:val="18"/>
              </w:rPr>
            </w:pPr>
            <w:r>
              <w:rPr>
                <w:b/>
                <w:color w:val="1B221F"/>
                <w:sz w:val="18"/>
              </w:rPr>
              <w:t>Contexto</w:t>
            </w:r>
          </w:p>
        </w:tc>
        <w:tc>
          <w:tcPr>
            <w:tcW w:w="744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Vive en AMBA con su pareja; alternan quién compra y cocina.</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color w:val="1B221F"/>
                <w:sz w:val="18"/>
              </w:rPr>
            </w:pPr>
            <w:r>
              <w:rPr>
                <w:b/>
                <w:color w:val="1B221F"/>
                <w:sz w:val="18"/>
              </w:rPr>
              <w:t>Dolor</w:t>
            </w:r>
          </w:p>
        </w:tc>
        <w:tc>
          <w:tcPr>
            <w:tcW w:w="744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Pierde visibilidad de lo que hay, olvida vencimientos y duplica compras.</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color w:val="1B221F"/>
                <w:sz w:val="18"/>
              </w:rPr>
            </w:pPr>
            <w:r>
              <w:rPr>
                <w:b/>
                <w:color w:val="1B221F"/>
                <w:sz w:val="18"/>
              </w:rPr>
              <w:t>Objetivo</w:t>
            </w:r>
          </w:p>
        </w:tc>
        <w:tc>
          <w:tcPr>
            <w:tcW w:w="744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Ahorrar sin dedicar tiempo a mantener una planilla doméstica.</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color w:val="1B221F"/>
                <w:sz w:val="18"/>
              </w:rPr>
            </w:pPr>
            <w:r>
              <w:rPr>
                <w:b/>
                <w:color w:val="1B221F"/>
                <w:sz w:val="18"/>
              </w:rPr>
              <w:t>Disparador</w:t>
            </w:r>
          </w:p>
        </w:tc>
        <w:tc>
          <w:tcPr>
            <w:tcW w:w="744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Una alerta útil antes del vencimiento o un resumen de ahorro mensual.</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color w:val="1B221F"/>
                <w:sz w:val="18"/>
              </w:rPr>
            </w:pPr>
            <w:r>
              <w:rPr>
                <w:b/>
                <w:color w:val="1B221F"/>
                <w:sz w:val="18"/>
              </w:rPr>
              <w:t>Objeción</w:t>
            </w:r>
          </w:p>
        </w:tc>
        <w:tc>
          <w:tcPr>
            <w:tcW w:w="744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No quiere cargar cada producto de forma manual ni recibir spam.</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Jobs-to-be-done</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Cuando termino de comprar, quiero registrar productos rápido para no reconstruir el ticket después.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Cuando decido qué cocinar, quiero saber qué vence primero para usarlo a tiempo.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Cuando compra otra persona del hogar, quiero que ambos veamos el mismo inventario.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Al terminar el mes, quiero comprobar cuánto aproveché y dónde puedo mejorar.</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26"/>
              </w:rPr>
            </w:pPr>
            <w:r>
              <w:rPr>
                <w:b/>
                <w:color w:val="1F6B43"/>
                <w:sz w:val="26"/>
              </w:rPr>
              <w:t>“</w:t>
            </w:r>
            <w:r>
              <w:rPr>
                <w:b/>
                <w:color w:val="1F6B43"/>
                <w:sz w:val="26"/>
              </w:rPr>
              <w:t>FoodSense me dice qué tengo, qué usar primero y cuánto estoy aprovechando, sin convertir mi cocina en una planilla.”</w:t>
            </w:r>
          </w:p>
        </w:tc>
      </w:tr>
    </w:tbl>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Propuesta de valor</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Funcional: menos olvidos y compras duplicadas. Económica: mayor aprovechamiento del gasto ya realizado. Emocional: control sin culpa. Ambiental: menos alimentos descartados. Para supermercados: fidelización, digitalización del ticket y evidencia agregada de impacto.</w:t>
      </w:r>
      <w:r>
        <w:br w:type="page"/>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4. Mercado: TAM, SAM y SOM</w:t>
      </w:r>
    </w:p>
    <w:p>
      <w:pPr>
        <w:pStyle w:val="Normal"/>
        <w:bidi w:val="0"/>
        <w:spacing w:lineRule="atLeast" w:line="0" w:before="23" w:after="113"/>
        <w:jc w:val="center"/>
        <w:rPr>
          <w:rFonts w:ascii="Liberation Sans" w:hAnsi="Liberation Sans"/>
          <w:b/>
          <w:i w:val="false"/>
          <w:color w:val="1F6B43"/>
          <w:sz w:val="36"/>
        </w:rPr>
      </w:pPr>
      <w:r>
        <w:rPr>
          <w:b/>
          <w:i w:val="false"/>
          <w:color w:val="1F6B43"/>
          <w:sz w:val="36"/>
        </w:rPr>
        <w:drawing>
          <wp:inline distT="0" distB="0" distL="0" distR="0">
            <wp:extent cx="6012180" cy="202501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012180" cy="2025015"/>
                    </a:xfrm>
                    <a:prstGeom prst="rect">
                      <a:avLst/>
                    </a:prstGeom>
                    <a:noFill/>
                  </pic:spPr>
                </pic:pic>
              </a:graphicData>
            </a:graphic>
          </wp:inline>
        </w:drawing>
      </w:r>
    </w:p>
    <w:p>
      <w:pPr>
        <w:pStyle w:val="Normal"/>
        <w:bidi w:val="0"/>
        <w:spacing w:lineRule="atLeast" w:line="0" w:before="0" w:after="91"/>
        <w:jc w:val="center"/>
        <w:rPr>
          <w:rFonts w:ascii="Liberation Sans" w:hAnsi="Liberation Sans"/>
          <w:b w:val="false"/>
          <w:i/>
          <w:color w:val="8A938E"/>
          <w:sz w:val="16"/>
        </w:rPr>
      </w:pPr>
      <w:r>
        <w:rPr>
          <w:b w:val="false"/>
          <w:i/>
          <w:color w:val="8A938E"/>
          <w:sz w:val="16"/>
        </w:rPr>
        <w:t>*El SAM aplica el 93,7% de acceso urbano a internet a las viviendas ocupadas como aproximación; no es una medición directa del universo comercial.</w:t>
      </w:r>
    </w:p>
    <w:tbl>
      <w:tblPr>
        <w:tblW w:w="5000" w:type="pct"/>
        <w:jc w:val="start"/>
        <w:tblInd w:w="-5" w:type="dxa"/>
        <w:shd w:fill="FFFFFF" w:val="clear"/>
        <w:tblLayout w:type="fixed"/>
        <w:tblCellMar>
          <w:top w:w="55" w:type="dxa"/>
          <w:start w:w="55" w:type="dxa"/>
          <w:bottom w:w="55" w:type="dxa"/>
          <w:end w:w="55" w:type="dxa"/>
        </w:tblCellMar>
      </w:tblPr>
      <w:tblGrid>
        <w:gridCol w:w="1587"/>
        <w:gridCol w:w="1786"/>
        <w:gridCol w:w="6549"/>
      </w:tblGrid>
      <w:tr>
        <w:trPr/>
        <w:tc>
          <w:tcPr>
            <w:tcW w:w="1587"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Nivel</w:t>
            </w:r>
          </w:p>
        </w:tc>
        <w:tc>
          <w:tcPr>
            <w:tcW w:w="1786"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Estimación</w:t>
            </w:r>
          </w:p>
        </w:tc>
        <w:tc>
          <w:tcPr>
            <w:tcW w:w="6549"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Definición y fuente</w:t>
            </w:r>
          </w:p>
        </w:tc>
      </w:tr>
      <w:tr>
        <w:trPr/>
        <w:tc>
          <w:tcPr>
            <w:tcW w:w="158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TAM</w:t>
            </w:r>
          </w:p>
        </w:tc>
        <w:tc>
          <w:tcPr>
            <w:tcW w:w="1786"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15,7 M</w:t>
            </w:r>
          </w:p>
        </w:tc>
        <w:tc>
          <w:tcPr>
            <w:tcW w:w="6549"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Viviendas particulares ocupadas. INDEC, Censo 2022.</w:t>
            </w:r>
          </w:p>
        </w:tc>
      </w:tr>
      <w:tr>
        <w:trPr/>
        <w:tc>
          <w:tcPr>
            <w:tcW w:w="1587"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SAM</w:t>
            </w:r>
          </w:p>
        </w:tc>
        <w:tc>
          <w:tcPr>
            <w:tcW w:w="1786"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14,7 M</w:t>
            </w:r>
          </w:p>
        </w:tc>
        <w:tc>
          <w:tcPr>
            <w:tcW w:w="6549"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TAM × 93,7% de acceso a internet urbano. Proxy de hogares alcanzables.</w:t>
            </w:r>
          </w:p>
        </w:tc>
      </w:tr>
      <w:tr>
        <w:trPr/>
        <w:tc>
          <w:tcPr>
            <w:tcW w:w="158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SOM</w:t>
            </w:r>
          </w:p>
        </w:tc>
        <w:tc>
          <w:tcPr>
            <w:tcW w:w="1786"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12.000</w:t>
            </w:r>
          </w:p>
        </w:tc>
        <w:tc>
          <w:tcPr>
            <w:tcW w:w="6549"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Hogares activos promedio del escenario base durante el primer año.</w:t>
            </w:r>
          </w:p>
        </w:tc>
      </w:tr>
    </w:tbl>
    <w:p>
      <w:pPr>
        <w:pStyle w:val="Normal"/>
        <w:bidi w:val="0"/>
        <w:spacing w:lineRule="atLeast" w:line="0" w:before="0" w:after="91"/>
        <w:jc w:val="center"/>
        <w:rPr>
          <w:rFonts w:ascii="Liberation Sans" w:hAnsi="Liberation Sans"/>
          <w:b w:val="false"/>
          <w:i/>
          <w:color w:val="8A938E"/>
          <w:sz w:val="16"/>
        </w:rPr>
      </w:pPr>
      <w:r>
        <w:rPr>
          <w:b w:val="false"/>
          <w:i/>
          <w:color w:val="8A938E"/>
          <w:sz w:val="16"/>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Lectura correcta</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El TAM dimensiona la necesidad doméstica, pero no equivale a demanda paga. El SAM aproxima la posibilidad de acceso digital. El SOM es una meta operativa: representa cerca del 0,08% del SAM, por lo que no exige una penetración nacional masiva para validar el modelo.</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Limitaciones</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El dato censal corresponde a viviendas ocupadas; hogar y vivienda no son idénticos en todos los casos.</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La tasa de conectividad proviene de 31 aglomerados urbanos y se usa como proxy.</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No existe aún evidencia propia de intención de pago, frecuencia de uso o retención.</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El SOM debe revisarse después de medir adquisición y activación en una prueba real.</w:t>
      </w:r>
      <w:r>
        <w:br w:type="page"/>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5. Competencia y posicionamiento</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La categoría ya valida que los usuarios pueden pagar por inventario, recetas y automatización. FoodSense no debería competir por cantidad de funciones desde el primer día, sino por adecuación al contexto argentino y menor fricción de ingreso.</w:t>
      </w:r>
    </w:p>
    <w:tbl>
      <w:tblPr>
        <w:tblW w:w="5000" w:type="pct"/>
        <w:jc w:val="start"/>
        <w:tblInd w:w="-5" w:type="dxa"/>
        <w:shd w:fill="FFFFFF" w:val="clear"/>
        <w:tblLayout w:type="fixed"/>
        <w:tblCellMar>
          <w:top w:w="55" w:type="dxa"/>
          <w:start w:w="55" w:type="dxa"/>
          <w:bottom w:w="55" w:type="dxa"/>
          <w:end w:w="55" w:type="dxa"/>
        </w:tblCellMar>
      </w:tblPr>
      <w:tblGrid>
        <w:gridCol w:w="2480"/>
        <w:gridCol w:w="2481"/>
        <w:gridCol w:w="2480"/>
        <w:gridCol w:w="2481"/>
      </w:tblGrid>
      <w:tr>
        <w:trPr/>
        <w:tc>
          <w:tcPr>
            <w:tcW w:w="2480"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5"/>
              </w:rPr>
            </w:pPr>
            <w:r>
              <w:rPr>
                <w:b/>
                <w:color w:val="FFFFFF"/>
                <w:sz w:val="15"/>
              </w:rPr>
              <w:t>Dimensión</w:t>
            </w:r>
          </w:p>
        </w:tc>
        <w:tc>
          <w:tcPr>
            <w:tcW w:w="2481"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5"/>
              </w:rPr>
            </w:pPr>
            <w:r>
              <w:rPr>
                <w:b/>
                <w:color w:val="FFFFFF"/>
                <w:sz w:val="15"/>
              </w:rPr>
              <w:t>FoodSense</w:t>
            </w:r>
          </w:p>
        </w:tc>
        <w:tc>
          <w:tcPr>
            <w:tcW w:w="2480"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5"/>
              </w:rPr>
            </w:pPr>
            <w:r>
              <w:rPr>
                <w:b/>
                <w:color w:val="FFFFFF"/>
                <w:sz w:val="15"/>
              </w:rPr>
              <w:t>Fridgo</w:t>
            </w:r>
          </w:p>
        </w:tc>
        <w:tc>
          <w:tcPr>
            <w:tcW w:w="2481"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5"/>
              </w:rPr>
            </w:pPr>
            <w:r>
              <w:rPr>
                <w:b/>
                <w:color w:val="FFFFFF"/>
                <w:sz w:val="15"/>
              </w:rPr>
              <w:t>Foodat</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Precio de referencia</w:t>
            </w:r>
          </w:p>
        </w:tc>
        <w:tc>
          <w:tcPr>
            <w:tcW w:w="24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USD 2,99/mes · 24,99/año</w:t>
            </w:r>
          </w:p>
        </w:tc>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USD 2,99/mes</w:t>
            </w:r>
          </w:p>
        </w:tc>
        <w:tc>
          <w:tcPr>
            <w:tcW w:w="248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USD 2,99/sem · 59,99/año</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Inventario y vencimientos</w:t>
            </w:r>
          </w:p>
        </w:tc>
        <w:tc>
          <w:tcPr>
            <w:tcW w:w="24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c>
          <w:tcPr>
            <w:tcW w:w="248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Código de barras</w:t>
            </w:r>
          </w:p>
        </w:tc>
        <w:tc>
          <w:tcPr>
            <w:tcW w:w="24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Actual</w:t>
            </w:r>
          </w:p>
        </w:tc>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c>
          <w:tcPr>
            <w:tcW w:w="248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No destacado</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OCR de tickets</w:t>
            </w:r>
          </w:p>
        </w:tc>
        <w:tc>
          <w:tcPr>
            <w:tcW w:w="24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Roadmap</w:t>
            </w:r>
          </w:p>
        </w:tc>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Foto/captura</w:t>
            </w:r>
          </w:p>
        </w:tc>
        <w:tc>
          <w:tcPr>
            <w:tcW w:w="248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 con IA</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Hogar compartido</w:t>
            </w:r>
          </w:p>
        </w:tc>
        <w:tc>
          <w:tcPr>
            <w:tcW w:w="24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Roadmap</w:t>
            </w:r>
          </w:p>
        </w:tc>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Hasta 10 miembros</w:t>
            </w:r>
          </w:p>
        </w:tc>
        <w:tc>
          <w:tcPr>
            <w:tcW w:w="248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Miembros ilimitados anual</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Alertas y métricas</w:t>
            </w:r>
          </w:p>
        </w:tc>
        <w:tc>
          <w:tcPr>
            <w:tcW w:w="24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Actual / ampliable</w:t>
            </w:r>
          </w:p>
        </w:tc>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c>
          <w:tcPr>
            <w:tcW w:w="248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Sí</w:t>
            </w:r>
          </w:p>
        </w:tc>
      </w:tr>
      <w:tr>
        <w:trPr/>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Localización argentina</w:t>
            </w:r>
          </w:p>
        </w:tc>
        <w:tc>
          <w:tcPr>
            <w:tcW w:w="24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Diferencial</w:t>
            </w:r>
          </w:p>
        </w:tc>
        <w:tc>
          <w:tcPr>
            <w:tcW w:w="2480"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No específica</w:t>
            </w:r>
          </w:p>
        </w:tc>
        <w:tc>
          <w:tcPr>
            <w:tcW w:w="248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5"/>
              </w:rPr>
            </w:pPr>
            <w:r>
              <w:rPr>
                <w:b w:val="false"/>
                <w:color w:val="1B221F"/>
                <w:sz w:val="15"/>
              </w:rPr>
              <w:t>No específica</w:t>
            </w:r>
          </w:p>
        </w:tc>
      </w:tr>
      <w:tr>
        <w:trPr/>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Integración supermercado</w:t>
            </w:r>
          </w:p>
        </w:tc>
        <w:tc>
          <w:tcPr>
            <w:tcW w:w="24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Propuesta B2B</w:t>
            </w:r>
          </w:p>
        </w:tc>
        <w:tc>
          <w:tcPr>
            <w:tcW w:w="2480"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No destacada</w:t>
            </w:r>
          </w:p>
        </w:tc>
        <w:tc>
          <w:tcPr>
            <w:tcW w:w="248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5"/>
              </w:rPr>
            </w:pPr>
            <w:r>
              <w:rPr>
                <w:b w:val="false"/>
                <w:color w:val="1B221F"/>
                <w:sz w:val="15"/>
              </w:rPr>
              <w:t>No destacada</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Ventaja defendible</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Experiencia y microcopy adaptadas al español argentino.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Precio anual inferior al de referencias internacionales observadas.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PWA sin dependencia inicial de tiendas de aplicaciones.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Posibilidad de transformar tickets del supermercado en inventario con consentimiento.</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Datos de impacto agregados para el socio, sin comercializar información personal.</w:t>
      </w:r>
    </w:p>
    <w:p>
      <w:pPr>
        <w:pStyle w:val="Normal"/>
        <w:bidi w:val="0"/>
        <w:spacing w:lineRule="atLeast" w:line="0" w:before="0" w:after="102"/>
        <w:jc w:val="start"/>
        <w:rPr>
          <w:rFonts w:ascii="Liberation Sans" w:hAnsi="Liberation Sans"/>
          <w:b w:val="false"/>
          <w:i/>
          <w:color w:val="8A938E"/>
          <w:sz w:val="17"/>
        </w:rPr>
      </w:pPr>
      <w:r>
        <w:rPr>
          <w:b w:val="false"/>
          <w:i/>
          <w:color w:val="8A938E"/>
          <w:sz w:val="17"/>
        </w:rPr>
        <w:t>Los precios de competidores son referencias públicas consultadas en junio de 2026 y pueden cambiar. Deben verificarse antes de una presentación futura.</w:t>
      </w:r>
      <w:r>
        <w:br w:type="page"/>
      </w:r>
    </w:p>
    <w:p>
      <w:pPr>
        <w:pStyle w:val="Normal"/>
        <w:bidi w:val="0"/>
        <w:spacing w:lineRule="atLeast" w:line="0" w:before="0" w:after="102"/>
        <w:jc w:val="start"/>
        <w:rPr>
          <w:rFonts w:ascii="Liberation Sans" w:hAnsi="Liberation Sans"/>
          <w:b w:val="false"/>
          <w:i/>
          <w:color w:val="8A938E"/>
          <w:sz w:val="17"/>
        </w:rPr>
      </w:pPr>
      <w:r>
        <w:rPr>
          <w:b w:val="false"/>
          <w:i/>
          <w:color w:val="8A938E"/>
          <w:sz w:val="17"/>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6. Modelo de ingresos</w:t>
      </w:r>
    </w:p>
    <w:tbl>
      <w:tblPr>
        <w:tblW w:w="5000" w:type="pct"/>
        <w:jc w:val="start"/>
        <w:tblInd w:w="-5" w:type="dxa"/>
        <w:shd w:fill="FFFFFF" w:val="clear"/>
        <w:tblLayout w:type="fixed"/>
        <w:tblCellMar>
          <w:top w:w="55" w:type="dxa"/>
          <w:start w:w="55" w:type="dxa"/>
          <w:bottom w:w="55" w:type="dxa"/>
          <w:end w:w="55" w:type="dxa"/>
        </w:tblCellMar>
      </w:tblPr>
      <w:tblGrid>
        <w:gridCol w:w="3274"/>
        <w:gridCol w:w="3373"/>
        <w:gridCol w:w="3275"/>
      </w:tblGrid>
      <w:tr>
        <w:trPr/>
        <w:tc>
          <w:tcPr>
            <w:tcW w:w="3274"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Gratis</w:t>
            </w:r>
          </w:p>
        </w:tc>
        <w:tc>
          <w:tcPr>
            <w:tcW w:w="3373"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FoodSense Plus</w:t>
            </w:r>
          </w:p>
        </w:tc>
        <w:tc>
          <w:tcPr>
            <w:tcW w:w="3275"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FoodSense Partners</w:t>
            </w:r>
          </w:p>
        </w:tc>
      </w:tr>
      <w:tr>
        <w:trPr/>
        <w:tc>
          <w:tcPr>
            <w:tcW w:w="3274"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0</w:t>
            </w:r>
          </w:p>
        </w:tc>
        <w:tc>
          <w:tcPr>
            <w:tcW w:w="3373"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2,99/mes o 24,99/año</w:t>
            </w:r>
          </w:p>
        </w:tc>
        <w:tc>
          <w:tcPr>
            <w:tcW w:w="3275"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10.000–20.000/año</w:t>
            </w:r>
          </w:p>
        </w:tc>
      </w:tr>
      <w:tr>
        <w:trPr/>
        <w:tc>
          <w:tcPr>
            <w:tcW w:w="3274"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Inventario y carga básica</w:t>
            </w:r>
          </w:p>
        </w:tc>
        <w:tc>
          <w:tcPr>
            <w:tcW w:w="3373"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OCR y voz ampliada</w:t>
            </w:r>
          </w:p>
        </w:tc>
        <w:tc>
          <w:tcPr>
            <w:tcW w:w="3275"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Premium patrocinado</w:t>
            </w:r>
          </w:p>
        </w:tc>
      </w:tr>
      <w:tr>
        <w:trPr/>
        <w:tc>
          <w:tcPr>
            <w:tcW w:w="3274"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Alertas esenciales</w:t>
            </w:r>
          </w:p>
        </w:tc>
        <w:tc>
          <w:tcPr>
            <w:tcW w:w="3373"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Hogar compartido</w:t>
            </w:r>
          </w:p>
        </w:tc>
        <w:tc>
          <w:tcPr>
            <w:tcW w:w="3275"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Integración de tickets</w:t>
            </w:r>
          </w:p>
        </w:tc>
      </w:tr>
      <w:tr>
        <w:trPr/>
        <w:tc>
          <w:tcPr>
            <w:tcW w:w="3274"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Métricas simples</w:t>
            </w:r>
          </w:p>
        </w:tc>
        <w:tc>
          <w:tcPr>
            <w:tcW w:w="3373"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Recetas y listas automáticas</w:t>
            </w:r>
          </w:p>
        </w:tc>
        <w:tc>
          <w:tcPr>
            <w:tcW w:w="3275"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Campañas co-brandeadas</w:t>
            </w:r>
          </w:p>
        </w:tc>
      </w:tr>
      <w:tr>
        <w:trPr/>
        <w:tc>
          <w:tcPr>
            <w:tcW w:w="3274"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Un hogar</w:t>
            </w:r>
          </w:p>
        </w:tc>
        <w:tc>
          <w:tcPr>
            <w:tcW w:w="3373"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Reportes y automatizaciones</w:t>
            </w:r>
          </w:p>
        </w:tc>
        <w:tc>
          <w:tcPr>
            <w:tcW w:w="3275"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Dashboard agregado de impacto</w:t>
            </w:r>
          </w:p>
        </w:tc>
      </w:tr>
    </w:tbl>
    <w:p>
      <w:pPr>
        <w:pStyle w:val="Normal"/>
        <w:bidi w:val="0"/>
        <w:spacing w:lineRule="atLeast" w:line="0" w:before="23" w:after="113"/>
        <w:jc w:val="start"/>
        <w:rPr>
          <w:rFonts w:ascii="Liberation Sans" w:hAnsi="Liberation Sans"/>
          <w:b/>
          <w:i w:val="false"/>
          <w:color w:val="1F6B43"/>
          <w:sz w:val="36"/>
        </w:rPr>
      </w:pPr>
      <w:r>
        <w:rPr>
          <w:b/>
          <w:i w:val="false"/>
          <w:color w:val="1F6B43"/>
          <w:sz w:val="36"/>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Lógica del freemium</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El valor preventivo básico permanece gratuito para maximizar adopción y frecuencia. Plus cobra por tiempo ahorrado y coordinación familiar. El precio se comunica en USD como referencia estable, pero el cobro se localizaría en pesos y se revisaría periódicamente.</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FoodSense Partners</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El supermercado contrata un piloto anual que incluye implementación acotada, accesos Plus patrocinados, importación de tickets cuando sea viable, una campaña conjunta y un reporte agregado. El rango de USD 10.000–20.000 es una hipótesis comercial: deberá validarse con responsables de fidelización, innovación y sustentabilidad.</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26"/>
              </w:rPr>
            </w:pPr>
            <w:r>
              <w:rPr>
                <w:b/>
                <w:color w:val="1F6B43"/>
                <w:sz w:val="26"/>
              </w:rPr>
              <w:t>Qué se monetiza: automatización, colaboración e impacto. Qué no: datos personales ni ansiedad del usuario.</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Ingresos futuros no proyectados</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Afiliación contextual, programas municipales o fondos de innovación podrían financiar crecimiento, pero se excluyen del año 1 para evitar una proyección inflada. Tampoco se incluyen publicidad ni venta de bases de datos.</w:t>
      </w:r>
      <w:r>
        <w:br w:type="page"/>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7. Business Model Canvas</w:t>
      </w:r>
    </w:p>
    <w:tbl>
      <w:tblPr>
        <w:tblW w:w="5000" w:type="pct"/>
        <w:jc w:val="start"/>
        <w:tblInd w:w="-5" w:type="dxa"/>
        <w:shd w:fill="FFFFFF" w:val="clear"/>
        <w:tblLayout w:type="fixed"/>
        <w:tblCellMar>
          <w:top w:w="55" w:type="dxa"/>
          <w:start w:w="55" w:type="dxa"/>
          <w:bottom w:w="55" w:type="dxa"/>
          <w:end w:w="55" w:type="dxa"/>
        </w:tblCellMar>
      </w:tblPr>
      <w:tblGrid>
        <w:gridCol w:w="3307"/>
        <w:gridCol w:w="3307"/>
        <w:gridCol w:w="3308"/>
      </w:tblGrid>
      <w:tr>
        <w:trPr/>
        <w:tc>
          <w:tcPr>
            <w:tcW w:w="3307" w:type="dxa"/>
            <w:tcBorders>
              <w:top w:val="single" w:sz="4" w:space="0" w:color="000000"/>
              <w:start w:val="single" w:sz="4" w:space="0" w:color="000000"/>
              <w:bottom w:val="single" w:sz="4" w:space="0" w:color="000000"/>
            </w:tcBorders>
            <w:shd w:fill="FFFFFF" w:val="clear"/>
          </w:tcPr>
          <w:p>
            <w:pPr>
              <w:pStyle w:val="TableHeading"/>
              <w:bidi w:val="0"/>
              <w:spacing w:before="51" w:after="51"/>
              <w:rPr>
                <w:rFonts w:ascii="Liberation Sans" w:hAnsi="Liberation Sans"/>
                <w:b w:val="false"/>
                <w:color w:val="1B221F"/>
                <w:sz w:val="16"/>
              </w:rPr>
            </w:pPr>
            <w:r>
              <w:rPr>
                <w:b w:val="false"/>
                <w:color w:val="1B221F"/>
                <w:sz w:val="16"/>
              </w:rPr>
              <w:t>Socios clave</w:t>
            </w:r>
          </w:p>
        </w:tc>
        <w:tc>
          <w:tcPr>
            <w:tcW w:w="3307" w:type="dxa"/>
            <w:tcBorders>
              <w:top w:val="single" w:sz="4" w:space="0" w:color="000000"/>
              <w:start w:val="single" w:sz="4" w:space="0" w:color="000000"/>
              <w:bottom w:val="single" w:sz="4" w:space="0" w:color="000000"/>
            </w:tcBorders>
            <w:shd w:fill="FFFFFF" w:val="clear"/>
          </w:tcPr>
          <w:p>
            <w:pPr>
              <w:pStyle w:val="TableHeading"/>
              <w:bidi w:val="0"/>
              <w:spacing w:before="51" w:after="51"/>
              <w:rPr>
                <w:rFonts w:ascii="Liberation Sans" w:hAnsi="Liberation Sans"/>
                <w:b w:val="false"/>
                <w:color w:val="1B221F"/>
                <w:sz w:val="16"/>
              </w:rPr>
            </w:pPr>
            <w:r>
              <w:rPr>
                <w:b w:val="false"/>
                <w:color w:val="1B221F"/>
                <w:sz w:val="16"/>
              </w:rPr>
              <w:t>Actividades clave</w:t>
            </w:r>
          </w:p>
        </w:tc>
        <w:tc>
          <w:tcPr>
            <w:tcW w:w="3308" w:type="dxa"/>
            <w:tcBorders>
              <w:top w:val="single" w:sz="4" w:space="0" w:color="000000"/>
              <w:start w:val="single" w:sz="4" w:space="0" w:color="000000"/>
              <w:bottom w:val="single" w:sz="4" w:space="0" w:color="000000"/>
              <w:end w:val="single" w:sz="4" w:space="0" w:color="000000"/>
            </w:tcBorders>
            <w:shd w:fill="FFFFFF" w:val="clear"/>
          </w:tcPr>
          <w:p>
            <w:pPr>
              <w:pStyle w:val="TableHeading"/>
              <w:bidi w:val="0"/>
              <w:spacing w:before="51" w:after="51"/>
              <w:rPr>
                <w:rFonts w:ascii="Liberation Sans" w:hAnsi="Liberation Sans"/>
                <w:b w:val="false"/>
                <w:color w:val="1B221F"/>
                <w:sz w:val="16"/>
              </w:rPr>
            </w:pPr>
            <w:r>
              <w:rPr>
                <w:b w:val="false"/>
                <w:color w:val="1B221F"/>
                <w:sz w:val="16"/>
              </w:rPr>
              <w:t>Propuesta de valor</w:t>
            </w:r>
          </w:p>
        </w:tc>
      </w:tr>
      <w:tr>
        <w:trPr/>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Supermercados; proveedores OCR; Firebase/Supabase; fuentes de productos.</w:t>
            </w:r>
          </w:p>
        </w:tc>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Desarrollo; calidad de vencimientos; adquisición; soporte; medición de impacto.</w:t>
            </w:r>
          </w:p>
        </w:tc>
        <w:tc>
          <w:tcPr>
            <w:tcW w:w="3308" w:type="dxa"/>
            <w:tcBorders>
              <w:start w:val="single" w:sz="4" w:space="0" w:color="000000"/>
              <w:bottom w:val="single" w:sz="4" w:space="0" w:color="000000"/>
              <w:end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Hogares: ahorrar y usar alimentos a tiempo. Supermercados: fidelización e impacto medible.</w:t>
            </w:r>
          </w:p>
        </w:tc>
      </w:tr>
      <w:tr>
        <w:trPr/>
        <w:tc>
          <w:tcPr>
            <w:tcW w:w="330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Recursos clave</w:t>
            </w:r>
          </w:p>
        </w:tc>
        <w:tc>
          <w:tcPr>
            <w:tcW w:w="330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Relación con clientes</w:t>
            </w:r>
          </w:p>
        </w:tc>
        <w:tc>
          <w:tcPr>
            <w:tcW w:w="3308"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Segmentos</w:t>
            </w:r>
          </w:p>
        </w:tc>
      </w:tr>
      <w:tr>
        <w:trPr/>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Producto PWA; motor de alertas; datos consentidos; marca; equipo.</w:t>
            </w:r>
          </w:p>
        </w:tc>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Autoservicio guiado; notificaciones útiles; soporte premium; gestión de cuentas B2B.</w:t>
            </w:r>
          </w:p>
        </w:tc>
        <w:tc>
          <w:tcPr>
            <w:tcW w:w="3308" w:type="dxa"/>
            <w:tcBorders>
              <w:start w:val="single" w:sz="4" w:space="0" w:color="000000"/>
              <w:bottom w:val="single" w:sz="4" w:space="0" w:color="000000"/>
              <w:end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Adultos urbanos que gestionan compras; hogares compartidos; supermercados.</w:t>
            </w:r>
          </w:p>
        </w:tc>
      </w:tr>
      <w:tr>
        <w:trPr/>
        <w:tc>
          <w:tcPr>
            <w:tcW w:w="330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Canales</w:t>
            </w:r>
          </w:p>
        </w:tc>
        <w:tc>
          <w:tcPr>
            <w:tcW w:w="330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Estructura de costos</w:t>
            </w:r>
          </w:p>
        </w:tc>
        <w:tc>
          <w:tcPr>
            <w:tcW w:w="3308"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Fuentes de ingreso</w:t>
            </w:r>
          </w:p>
        </w:tc>
      </w:tr>
      <w:tr>
        <w:trPr/>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PWA; referidos; redes; QR en tickets; programas de fidelidad.</w:t>
            </w:r>
          </w:p>
        </w:tc>
        <w:tc>
          <w:tcPr>
            <w:tcW w:w="3307" w:type="dxa"/>
            <w:tcBorders>
              <w:start w:val="single" w:sz="4" w:space="0" w:color="000000"/>
              <w:bottom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Infraestructura; IA/OCR; mensajería; desarrollo; soporte; ventas B2B.</w:t>
            </w:r>
          </w:p>
        </w:tc>
        <w:tc>
          <w:tcPr>
            <w:tcW w:w="3308" w:type="dxa"/>
            <w:tcBorders>
              <w:start w:val="single" w:sz="4" w:space="0" w:color="000000"/>
              <w:bottom w:val="single" w:sz="4" w:space="0" w:color="000000"/>
              <w:end w:val="single" w:sz="4" w:space="0" w:color="000000"/>
            </w:tcBorders>
            <w:shd w:fill="E5F1E8" w:val="clear"/>
          </w:tcPr>
          <w:p>
            <w:pPr>
              <w:pStyle w:val="TableContents"/>
              <w:bidi w:val="0"/>
              <w:spacing w:before="51" w:after="51"/>
              <w:jc w:val="start"/>
              <w:rPr>
                <w:rFonts w:ascii="Liberation Sans" w:hAnsi="Liberation Sans"/>
                <w:b w:val="false"/>
                <w:color w:val="1B221F"/>
                <w:sz w:val="16"/>
              </w:rPr>
            </w:pPr>
            <w:r>
              <w:rPr>
                <w:b w:val="false"/>
                <w:color w:val="1B221F"/>
                <w:sz w:val="16"/>
              </w:rPr>
              <w:t>Plus mensual/anual; contratos Partners; oportunidades futuras no proyectadas.</w:t>
            </w:r>
          </w:p>
        </w:tc>
      </w:tr>
    </w:tbl>
    <w:p>
      <w:pPr>
        <w:pStyle w:val="Normal"/>
        <w:bidi w:val="0"/>
        <w:spacing w:lineRule="atLeast" w:line="0" w:before="23" w:after="113"/>
        <w:jc w:val="start"/>
        <w:rPr>
          <w:rFonts w:ascii="Liberation Sans" w:hAnsi="Liberation Sans"/>
          <w:b/>
          <w:i w:val="false"/>
          <w:color w:val="1F6B43"/>
          <w:sz w:val="36"/>
        </w:rPr>
      </w:pPr>
      <w:r>
        <w:rPr>
          <w:b/>
          <w:i w:val="false"/>
          <w:color w:val="1F6B43"/>
          <w:sz w:val="36"/>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Coherencia del modelo</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El mismo comportamiento que crea valor para el hogar —registrar, consultar y marcar productos— genera métricas de impacto. La condición es que la información utilizada por socios sea agregada, transparente y basada en consentimiento; de lo contrario, se erosionaría la confianza que sostiene la retención.</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Efectos de red posibles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Más miembros por hogar mejoran la actualización del inventario y la permanencia.</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Más tickets integrados reducen la carga manual y elevan la activación.</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Más comercios compatibles aumentan el valor del producto, sin encerrar al usuario en una cadena.</w:t>
      </w:r>
      <w:r>
        <w:br w:type="page"/>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8. Go-to-market</w:t>
      </w:r>
    </w:p>
    <w:tbl>
      <w:tblPr>
        <w:tblW w:w="5000" w:type="pct"/>
        <w:jc w:val="start"/>
        <w:tblInd w:w="-5" w:type="dxa"/>
        <w:shd w:fill="FFFFFF" w:val="clear"/>
        <w:tblLayout w:type="fixed"/>
        <w:tblCellMar>
          <w:top w:w="55" w:type="dxa"/>
          <w:start w:w="55" w:type="dxa"/>
          <w:bottom w:w="55" w:type="dxa"/>
          <w:end w:w="55" w:type="dxa"/>
        </w:tblCellMar>
      </w:tblPr>
      <w:tblGrid>
        <w:gridCol w:w="1389"/>
        <w:gridCol w:w="2282"/>
        <w:gridCol w:w="3472"/>
        <w:gridCol w:w="2779"/>
      </w:tblGrid>
      <w:tr>
        <w:trPr/>
        <w:tc>
          <w:tcPr>
            <w:tcW w:w="1389"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Etapa</w:t>
            </w:r>
          </w:p>
        </w:tc>
        <w:tc>
          <w:tcPr>
            <w:tcW w:w="2282"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Objetivo</w:t>
            </w:r>
          </w:p>
        </w:tc>
        <w:tc>
          <w:tcPr>
            <w:tcW w:w="3472"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Experimento</w:t>
            </w:r>
          </w:p>
        </w:tc>
        <w:tc>
          <w:tcPr>
            <w:tcW w:w="2779"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Puerta de avance</w:t>
            </w:r>
          </w:p>
        </w:tc>
      </w:tr>
      <w:tr>
        <w:trPr/>
        <w:tc>
          <w:tcPr>
            <w:tcW w:w="1389"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1 · Problema</w:t>
            </w:r>
          </w:p>
        </w:tc>
        <w:tc>
          <w:tcPr>
            <w:tcW w:w="22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Confirmar dolor y hábito</w:t>
            </w:r>
          </w:p>
        </w:tc>
        <w:tc>
          <w:tcPr>
            <w:tcW w:w="347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20 entrevistas + prueba de uso por 4 semanas</w:t>
            </w:r>
          </w:p>
        </w:tc>
        <w:tc>
          <w:tcPr>
            <w:tcW w:w="2779"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w:t>
            </w:r>
            <w:r>
              <w:rPr>
                <w:b w:val="false"/>
                <w:color w:val="1B221F"/>
                <w:sz w:val="16"/>
              </w:rPr>
              <w:t>50% registra productos semanalmente</w:t>
            </w:r>
          </w:p>
        </w:tc>
      </w:tr>
      <w:tr>
        <w:trPr/>
        <w:tc>
          <w:tcPr>
            <w:tcW w:w="1389"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2 · Precio</w:t>
            </w:r>
          </w:p>
        </w:tc>
        <w:tc>
          <w:tcPr>
            <w:tcW w:w="22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Validar Plus</w:t>
            </w:r>
          </w:p>
        </w:tc>
        <w:tc>
          <w:tcPr>
            <w:tcW w:w="347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Paywall simulado + dos precios + preventa</w:t>
            </w:r>
          </w:p>
        </w:tc>
        <w:tc>
          <w:tcPr>
            <w:tcW w:w="2779"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w:t>
            </w:r>
            <w:r>
              <w:rPr>
                <w:b w:val="false"/>
                <w:color w:val="1B221F"/>
                <w:sz w:val="16"/>
              </w:rPr>
              <w:t>3% intenta pagar; entrevistas explican objeciones</w:t>
            </w:r>
          </w:p>
        </w:tc>
      </w:tr>
      <w:tr>
        <w:trPr/>
        <w:tc>
          <w:tcPr>
            <w:tcW w:w="1389"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3 · Piloto B2B</w:t>
            </w:r>
          </w:p>
        </w:tc>
        <w:tc>
          <w:tcPr>
            <w:tcW w:w="22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Probar distribución</w:t>
            </w:r>
          </w:p>
        </w:tc>
        <w:tc>
          <w:tcPr>
            <w:tcW w:w="347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Un supermercado, tickets acotados, 1.000 accesos</w:t>
            </w:r>
          </w:p>
        </w:tc>
        <w:tc>
          <w:tcPr>
            <w:tcW w:w="2779"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Activación ≥25%; retención a 8 semanas ≥30%</w:t>
            </w:r>
          </w:p>
        </w:tc>
      </w:tr>
      <w:tr>
        <w:trPr/>
        <w:tc>
          <w:tcPr>
            <w:tcW w:w="1389"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4 · Escala</w:t>
            </w:r>
          </w:p>
        </w:tc>
        <w:tc>
          <w:tcPr>
            <w:tcW w:w="22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Repetir adquisición</w:t>
            </w:r>
          </w:p>
        </w:tc>
        <w:tc>
          <w:tcPr>
            <w:tcW w:w="347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Referidos, QR en tickets y segunda cadena</w:t>
            </w:r>
          </w:p>
        </w:tc>
        <w:tc>
          <w:tcPr>
            <w:tcW w:w="2779"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Economía y operación repetibles</w:t>
            </w:r>
          </w:p>
        </w:tc>
      </w:tr>
    </w:tbl>
    <w:p>
      <w:pPr>
        <w:pStyle w:val="Normal"/>
        <w:bidi w:val="0"/>
        <w:spacing w:lineRule="atLeast" w:line="0" w:before="23" w:after="113"/>
        <w:jc w:val="start"/>
        <w:rPr>
          <w:rFonts w:ascii="Liberation Sans" w:hAnsi="Liberation Sans"/>
          <w:b/>
          <w:i w:val="false"/>
          <w:color w:val="1F6B43"/>
          <w:sz w:val="36"/>
        </w:rPr>
      </w:pPr>
      <w:r>
        <w:rPr>
          <w:b/>
          <w:i w:val="false"/>
          <w:color w:val="1F6B43"/>
          <w:sz w:val="36"/>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Mensajes por comprador</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Hogar: “recuperá el valor de lo que ya compraste”.</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Supermercado: “convertí el ticket en una relación útil después de la compra”.</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Área de sustentabilidad: “medí acciones domésticas, no sólo alcance de campaña”.</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Principio de adquisición</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No conviene escalar pauta paga antes de probar que el usuario mantiene el inventario actualizado. La activación real no es descargar o registrarse: es cargar productos, volver y resolver al menos una alerta.</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26"/>
              </w:rPr>
            </w:pPr>
            <w:r>
              <w:rPr>
                <w:b/>
                <w:color w:val="1F6B43"/>
                <w:sz w:val="26"/>
              </w:rPr>
              <w:t>Evento de activación propuesto: 5 productos registrados + 1 regreso dentro de los primeros 7 días</w:t>
            </w:r>
          </w:p>
        </w:tc>
      </w:tr>
    </w:tbl>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Canales iniciales</w:t>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Comunidades universitarias y urbanas para aprendizaje rápido; referidos dentro del hogar; contenido de ahorro; QR en tickets o comunicaciones del socio; y campañas breves vinculadas a categorías de alto desperdicio.</w:t>
      </w:r>
      <w:r>
        <w:br w:type="page"/>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9. Proyección anual y métricas</w:t>
      </w:r>
    </w:p>
    <w:p>
      <w:pPr>
        <w:pStyle w:val="Normal"/>
        <w:bidi w:val="0"/>
        <w:spacing w:lineRule="atLeast" w:line="0" w:before="23" w:after="113"/>
        <w:jc w:val="center"/>
        <w:rPr>
          <w:rFonts w:ascii="Liberation Sans" w:hAnsi="Liberation Sans"/>
          <w:b/>
          <w:i w:val="false"/>
          <w:color w:val="1F6B43"/>
          <w:sz w:val="36"/>
        </w:rPr>
      </w:pPr>
      <w:r>
        <w:rPr>
          <w:b/>
          <w:i w:val="false"/>
          <w:color w:val="1F6B43"/>
          <w:sz w:val="36"/>
        </w:rPr>
        <w:drawing>
          <wp:inline distT="0" distB="0" distL="0" distR="0">
            <wp:extent cx="6047740" cy="267398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047740" cy="2673985"/>
                    </a:xfrm>
                    <a:prstGeom prst="rect">
                      <a:avLst/>
                    </a:prstGeom>
                    <a:noFill/>
                  </pic:spPr>
                </pic:pic>
              </a:graphicData>
            </a:graphic>
          </wp:inline>
        </w:drawing>
      </w:r>
    </w:p>
    <w:tbl>
      <w:tblPr>
        <w:tblW w:w="5000" w:type="pct"/>
        <w:jc w:val="start"/>
        <w:tblInd w:w="-5" w:type="dxa"/>
        <w:shd w:fill="FFFFFF" w:val="clear"/>
        <w:tblLayout w:type="fixed"/>
        <w:tblCellMar>
          <w:top w:w="55" w:type="dxa"/>
          <w:start w:w="55" w:type="dxa"/>
          <w:bottom w:w="55" w:type="dxa"/>
          <w:end w:w="55" w:type="dxa"/>
        </w:tblCellMar>
      </w:tblPr>
      <w:tblGrid>
        <w:gridCol w:w="2083"/>
        <w:gridCol w:w="1488"/>
        <w:gridCol w:w="1588"/>
        <w:gridCol w:w="1587"/>
        <w:gridCol w:w="1588"/>
        <w:gridCol w:w="1588"/>
      </w:tblGrid>
      <w:tr>
        <w:trPr/>
        <w:tc>
          <w:tcPr>
            <w:tcW w:w="2083"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Escenario</w:t>
            </w:r>
          </w:p>
        </w:tc>
        <w:tc>
          <w:tcPr>
            <w:tcW w:w="1488"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Activos</w:t>
            </w:r>
          </w:p>
        </w:tc>
        <w:tc>
          <w:tcPr>
            <w:tcW w:w="1588"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Conversión</w:t>
            </w:r>
          </w:p>
        </w:tc>
        <w:tc>
          <w:tcPr>
            <w:tcW w:w="1587"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B2C</w:t>
            </w:r>
          </w:p>
        </w:tc>
        <w:tc>
          <w:tcPr>
            <w:tcW w:w="1588"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B2B</w:t>
            </w:r>
          </w:p>
        </w:tc>
        <w:tc>
          <w:tcPr>
            <w:tcW w:w="1588"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7"/>
              </w:rPr>
            </w:pPr>
            <w:r>
              <w:rPr>
                <w:b/>
                <w:color w:val="FFFFFF"/>
                <w:sz w:val="17"/>
              </w:rPr>
              <w:t>Total</w:t>
            </w:r>
          </w:p>
        </w:tc>
      </w:tr>
      <w:tr>
        <w:trPr/>
        <w:tc>
          <w:tcPr>
            <w:tcW w:w="2083"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Conservador</w:t>
            </w:r>
          </w:p>
        </w:tc>
        <w:tc>
          <w:tcPr>
            <w:tcW w:w="14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5.000</w:t>
            </w:r>
          </w:p>
        </w:tc>
        <w:tc>
          <w:tcPr>
            <w:tcW w:w="15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3%</w:t>
            </w:r>
          </w:p>
        </w:tc>
        <w:tc>
          <w:tcPr>
            <w:tcW w:w="158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4,239</w:t>
            </w:r>
          </w:p>
        </w:tc>
        <w:tc>
          <w:tcPr>
            <w:tcW w:w="15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10,000</w:t>
            </w:r>
          </w:p>
        </w:tc>
        <w:tc>
          <w:tcPr>
            <w:tcW w:w="1588"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14,239</w:t>
            </w:r>
          </w:p>
        </w:tc>
      </w:tr>
      <w:tr>
        <w:trPr/>
        <w:tc>
          <w:tcPr>
            <w:tcW w:w="2083"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Base</w:t>
            </w:r>
          </w:p>
        </w:tc>
        <w:tc>
          <w:tcPr>
            <w:tcW w:w="148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12.000</w:t>
            </w:r>
          </w:p>
        </w:tc>
        <w:tc>
          <w:tcPr>
            <w:tcW w:w="158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4%</w:t>
            </w:r>
          </w:p>
        </w:tc>
        <w:tc>
          <w:tcPr>
            <w:tcW w:w="1587"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USD 13,563</w:t>
            </w:r>
          </w:p>
        </w:tc>
        <w:tc>
          <w:tcPr>
            <w:tcW w:w="158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USD 30,000</w:t>
            </w:r>
          </w:p>
        </w:tc>
        <w:tc>
          <w:tcPr>
            <w:tcW w:w="1588"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7"/>
              </w:rPr>
            </w:pPr>
            <w:r>
              <w:rPr>
                <w:b w:val="false"/>
                <w:color w:val="1B221F"/>
                <w:sz w:val="17"/>
              </w:rPr>
              <w:t>USD 43,563</w:t>
            </w:r>
          </w:p>
        </w:tc>
      </w:tr>
      <w:tr>
        <w:trPr/>
        <w:tc>
          <w:tcPr>
            <w:tcW w:w="2083"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Optimista</w:t>
            </w:r>
          </w:p>
        </w:tc>
        <w:tc>
          <w:tcPr>
            <w:tcW w:w="14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30.000</w:t>
            </w:r>
          </w:p>
        </w:tc>
        <w:tc>
          <w:tcPr>
            <w:tcW w:w="15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6%</w:t>
            </w:r>
          </w:p>
        </w:tc>
        <w:tc>
          <w:tcPr>
            <w:tcW w:w="1587"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50,863</w:t>
            </w:r>
          </w:p>
        </w:tc>
        <w:tc>
          <w:tcPr>
            <w:tcW w:w="158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80,000</w:t>
            </w:r>
          </w:p>
        </w:tc>
        <w:tc>
          <w:tcPr>
            <w:tcW w:w="1588"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7"/>
              </w:rPr>
            </w:pPr>
            <w:r>
              <w:rPr>
                <w:b w:val="false"/>
                <w:color w:val="1B221F"/>
                <w:sz w:val="17"/>
              </w:rPr>
              <w:t>USD 130,863</w:t>
            </w:r>
          </w:p>
        </w:tc>
      </w:tr>
    </w:tbl>
    <w:p>
      <w:pPr>
        <w:pStyle w:val="Normal"/>
        <w:bidi w:val="0"/>
        <w:spacing w:lineRule="atLeast" w:line="0" w:before="23" w:after="113"/>
        <w:jc w:val="center"/>
        <w:rPr>
          <w:rFonts w:ascii="Liberation Sans" w:hAnsi="Liberation Sans"/>
          <w:b/>
          <w:i w:val="false"/>
          <w:color w:val="1F6B43"/>
          <w:sz w:val="36"/>
        </w:rPr>
      </w:pPr>
      <w:r>
        <w:rPr>
          <w:b/>
          <w:i w:val="false"/>
          <w:color w:val="1F6B43"/>
          <w:sz w:val="36"/>
        </w:rPr>
      </w:r>
    </w:p>
    <w:p>
      <w:pPr>
        <w:pStyle w:val="Normal"/>
        <w:bidi w:val="0"/>
        <w:spacing w:lineRule="atLeast" w:line="0" w:before="0" w:after="102"/>
        <w:jc w:val="start"/>
        <w:rPr>
          <w:rFonts w:ascii="Liberation Sans" w:hAnsi="Liberation Sans"/>
          <w:b w:val="false"/>
          <w:i/>
          <w:color w:val="66706B"/>
          <w:sz w:val="17"/>
        </w:rPr>
      </w:pPr>
      <w:r>
        <w:rPr>
          <w:b w:val="false"/>
          <w:i/>
          <w:color w:val="66706B"/>
          <w:sz w:val="17"/>
        </w:rPr>
        <w:t>ARPPU anual combinado: USD 28.26, suponiendo 70% de planes anuales y 30% mensuales. Las cifras representan facturación bruta; no descuentan impuestos, costos de cobro, infraestructura, IA, soporte ni ventas.</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Tablero mínimo</w:t>
      </w:r>
    </w:p>
    <w:tbl>
      <w:tblPr>
        <w:tblW w:w="5000" w:type="pct"/>
        <w:jc w:val="start"/>
        <w:tblInd w:w="-5" w:type="dxa"/>
        <w:shd w:fill="FFFFFF" w:val="clear"/>
        <w:tblLayout w:type="fixed"/>
        <w:tblCellMar>
          <w:top w:w="55" w:type="dxa"/>
          <w:start w:w="55" w:type="dxa"/>
          <w:bottom w:w="55" w:type="dxa"/>
          <w:end w:w="55" w:type="dxa"/>
        </w:tblCellMar>
      </w:tblPr>
      <w:tblGrid>
        <w:gridCol w:w="2381"/>
        <w:gridCol w:w="7541"/>
      </w:tblGrid>
      <w:tr>
        <w:trPr/>
        <w:tc>
          <w:tcPr>
            <w:tcW w:w="2381"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Capa</w:t>
            </w:r>
          </w:p>
        </w:tc>
        <w:tc>
          <w:tcPr>
            <w:tcW w:w="7541"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8"/>
              </w:rPr>
            </w:pPr>
            <w:r>
              <w:rPr>
                <w:b/>
                <w:color w:val="FFFFFF"/>
                <w:sz w:val="18"/>
              </w:rPr>
              <w:t>Indicadores</w:t>
            </w:r>
          </w:p>
        </w:tc>
      </w:tr>
      <w:tr>
        <w:trPr/>
        <w:tc>
          <w:tcPr>
            <w:tcW w:w="23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Adopción</w:t>
            </w:r>
          </w:p>
        </w:tc>
        <w:tc>
          <w:tcPr>
            <w:tcW w:w="754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Hogares activos mensuales; altas; fuente de adquisición</w:t>
            </w:r>
          </w:p>
        </w:tc>
      </w:tr>
      <w:tr>
        <w:trPr/>
        <w:tc>
          <w:tcPr>
            <w:tcW w:w="23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Activación</w:t>
            </w:r>
          </w:p>
        </w:tc>
        <w:tc>
          <w:tcPr>
            <w:tcW w:w="754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 con 5 productos y un regreso en 7 días</w:t>
            </w:r>
          </w:p>
        </w:tc>
      </w:tr>
      <w:tr>
        <w:trPr/>
        <w:tc>
          <w:tcPr>
            <w:tcW w:w="23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Engagement</w:t>
            </w:r>
          </w:p>
        </w:tc>
        <w:tc>
          <w:tcPr>
            <w:tcW w:w="754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Productos cargados; alertas resueltas; hogares compartidos</w:t>
            </w:r>
          </w:p>
        </w:tc>
      </w:tr>
      <w:tr>
        <w:trPr/>
        <w:tc>
          <w:tcPr>
            <w:tcW w:w="23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Retención</w:t>
            </w:r>
          </w:p>
        </w:tc>
        <w:tc>
          <w:tcPr>
            <w:tcW w:w="754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Retención a 4/8/12 semanas; churn mensual</w:t>
            </w:r>
          </w:p>
        </w:tc>
      </w:tr>
      <w:tr>
        <w:trPr/>
        <w:tc>
          <w:tcPr>
            <w:tcW w:w="2381"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Negocio</w:t>
            </w:r>
          </w:p>
        </w:tc>
        <w:tc>
          <w:tcPr>
            <w:tcW w:w="7541"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8"/>
              </w:rPr>
            </w:pPr>
            <w:r>
              <w:rPr>
                <w:b w:val="false"/>
                <w:color w:val="1B221F"/>
                <w:sz w:val="18"/>
              </w:rPr>
              <w:t>Conversión Plus; ARPPU; MRR/ARR; contratos y renovaciones</w:t>
            </w:r>
          </w:p>
        </w:tc>
      </w:tr>
      <w:tr>
        <w:trPr/>
        <w:tc>
          <w:tcPr>
            <w:tcW w:w="2381"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Impacto</w:t>
            </w:r>
          </w:p>
        </w:tc>
        <w:tc>
          <w:tcPr>
            <w:tcW w:w="7541"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8"/>
              </w:rPr>
            </w:pPr>
            <w:r>
              <w:rPr>
                <w:b w:val="false"/>
                <w:color w:val="1B221F"/>
                <w:sz w:val="18"/>
              </w:rPr>
              <w:t>Productos consumidos vs. descartados; kg y ahorro estimados</w:t>
            </w:r>
          </w:p>
        </w:tc>
      </w:tr>
    </w:tbl>
    <w:p>
      <w:pPr>
        <w:pStyle w:val="Normal"/>
        <w:bidi w:val="0"/>
        <w:spacing w:lineRule="atLeast" w:line="0" w:before="57" w:after="57"/>
        <w:jc w:val="start"/>
        <w:rPr>
          <w:rFonts w:ascii="Liberation Sans" w:hAnsi="Liberation Sans"/>
          <w:b/>
          <w:i w:val="false"/>
          <w:color w:val="1B221F"/>
          <w:sz w:val="25"/>
        </w:rPr>
      </w:pPr>
      <w:r>
        <w:rPr>
          <w:b/>
          <w:i w:val="false"/>
          <w:color w:val="1B221F"/>
          <w:sz w:val="25"/>
        </w:rPr>
      </w:r>
      <w:r>
        <w:br w:type="page"/>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10. Riesgos, validación y recomendación</w:t>
      </w:r>
    </w:p>
    <w:tbl>
      <w:tblPr>
        <w:tblW w:w="5000" w:type="pct"/>
        <w:jc w:val="start"/>
        <w:tblInd w:w="-5" w:type="dxa"/>
        <w:shd w:fill="FFFFFF" w:val="clear"/>
        <w:tblLayout w:type="fixed"/>
        <w:tblCellMar>
          <w:top w:w="55" w:type="dxa"/>
          <w:start w:w="55" w:type="dxa"/>
          <w:bottom w:w="55" w:type="dxa"/>
          <w:end w:w="55" w:type="dxa"/>
        </w:tblCellMar>
      </w:tblPr>
      <w:tblGrid>
        <w:gridCol w:w="2182"/>
        <w:gridCol w:w="2778"/>
        <w:gridCol w:w="4962"/>
      </w:tblGrid>
      <w:tr>
        <w:trPr/>
        <w:tc>
          <w:tcPr>
            <w:tcW w:w="2182"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Riesgo</w:t>
            </w:r>
          </w:p>
        </w:tc>
        <w:tc>
          <w:tcPr>
            <w:tcW w:w="2778" w:type="dxa"/>
            <w:tcBorders>
              <w:top w:val="single" w:sz="4" w:space="0" w:color="000000"/>
              <w:start w:val="single" w:sz="4" w:space="0" w:color="000000"/>
              <w:bottom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Señal temprana</w:t>
            </w:r>
          </w:p>
        </w:tc>
        <w:tc>
          <w:tcPr>
            <w:tcW w:w="4962" w:type="dxa"/>
            <w:tcBorders>
              <w:top w:val="single" w:sz="4" w:space="0" w:color="000000"/>
              <w:start w:val="single" w:sz="4" w:space="0" w:color="000000"/>
              <w:bottom w:val="single" w:sz="4" w:space="0" w:color="000000"/>
              <w:end w:val="single" w:sz="4" w:space="0" w:color="000000"/>
            </w:tcBorders>
            <w:shd w:fill="1F6B43" w:val="clear"/>
          </w:tcPr>
          <w:p>
            <w:pPr>
              <w:pStyle w:val="TableHeading"/>
              <w:bidi w:val="0"/>
              <w:spacing w:before="51" w:after="51"/>
              <w:rPr>
                <w:rFonts w:ascii="Liberation Sans" w:hAnsi="Liberation Sans"/>
                <w:b/>
                <w:color w:val="FFFFFF"/>
                <w:sz w:val="16"/>
              </w:rPr>
            </w:pPr>
            <w:r>
              <w:rPr>
                <w:b/>
                <w:color w:val="FFFFFF"/>
                <w:sz w:val="16"/>
              </w:rPr>
              <w:t>Mitigación / experimento</w:t>
            </w:r>
          </w:p>
        </w:tc>
      </w:tr>
      <w:tr>
        <w:trPr/>
        <w:tc>
          <w:tcPr>
            <w:tcW w:w="21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Carga manual excesiva</w:t>
            </w:r>
          </w:p>
        </w:tc>
        <w:tc>
          <w:tcPr>
            <w:tcW w:w="277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Alta inicial y poco regreso</w:t>
            </w:r>
          </w:p>
        </w:tc>
        <w:tc>
          <w:tcPr>
            <w:tcW w:w="496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Medir tiempo de alta; voz, ticket y carga por lote</w:t>
            </w:r>
          </w:p>
        </w:tc>
      </w:tr>
      <w:tr>
        <w:trPr/>
        <w:tc>
          <w:tcPr>
            <w:tcW w:w="21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Baja disposición a pagar</w:t>
            </w:r>
          </w:p>
        </w:tc>
        <w:tc>
          <w:tcPr>
            <w:tcW w:w="277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Uso alto, conversión &lt;3%</w:t>
            </w:r>
          </w:p>
        </w:tc>
        <w:tc>
          <w:tcPr>
            <w:tcW w:w="496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Entrevistas; precio anual; premium por automatización</w:t>
            </w:r>
          </w:p>
        </w:tc>
      </w:tr>
      <w:tr>
        <w:trPr/>
        <w:tc>
          <w:tcPr>
            <w:tcW w:w="21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Vencimientos imprecisos</w:t>
            </w:r>
          </w:p>
        </w:tc>
        <w:tc>
          <w:tcPr>
            <w:tcW w:w="277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Correcciones frecuentes</w:t>
            </w:r>
          </w:p>
        </w:tc>
        <w:tc>
          <w:tcPr>
            <w:tcW w:w="496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Mostrar fuente y confianza; edición simple</w:t>
            </w:r>
          </w:p>
        </w:tc>
      </w:tr>
      <w:tr>
        <w:trPr/>
        <w:tc>
          <w:tcPr>
            <w:tcW w:w="21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Notificaciones molestas</w:t>
            </w:r>
          </w:p>
        </w:tc>
        <w:tc>
          <w:tcPr>
            <w:tcW w:w="277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Permisos revocados</w:t>
            </w:r>
          </w:p>
        </w:tc>
        <w:tc>
          <w:tcPr>
            <w:tcW w:w="496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Frecuencia configurable y tono no culpabilizante</w:t>
            </w:r>
          </w:p>
        </w:tc>
      </w:tr>
      <w:tr>
        <w:trPr/>
        <w:tc>
          <w:tcPr>
            <w:tcW w:w="2182"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Privacidad</w:t>
            </w:r>
          </w:p>
        </w:tc>
        <w:tc>
          <w:tcPr>
            <w:tcW w:w="2778" w:type="dxa"/>
            <w:tcBorders>
              <w:start w:val="single" w:sz="4" w:space="0" w:color="000000"/>
              <w:bottom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Rechazo a integrar tickets</w:t>
            </w:r>
          </w:p>
        </w:tc>
        <w:tc>
          <w:tcPr>
            <w:tcW w:w="4962" w:type="dxa"/>
            <w:tcBorders>
              <w:start w:val="single" w:sz="4" w:space="0" w:color="000000"/>
              <w:bottom w:val="single" w:sz="4" w:space="0" w:color="000000"/>
              <w:end w:val="single" w:sz="4" w:space="0" w:color="000000"/>
            </w:tcBorders>
            <w:shd w:fill="FFFFFF" w:val="clear"/>
          </w:tcPr>
          <w:p>
            <w:pPr>
              <w:pStyle w:val="TableContents"/>
              <w:bidi w:val="0"/>
              <w:spacing w:before="51" w:after="51"/>
              <w:jc w:val="start"/>
              <w:rPr>
                <w:rFonts w:ascii="Liberation Sans" w:hAnsi="Liberation Sans"/>
                <w:b w:val="false"/>
                <w:color w:val="1B221F"/>
                <w:sz w:val="16"/>
              </w:rPr>
            </w:pPr>
            <w:r>
              <w:rPr>
                <w:b w:val="false"/>
                <w:color w:val="1B221F"/>
                <w:sz w:val="16"/>
              </w:rPr>
              <w:t>Consentimiento granular; agregación; minimización</w:t>
            </w:r>
          </w:p>
        </w:tc>
      </w:tr>
      <w:tr>
        <w:trPr/>
        <w:tc>
          <w:tcPr>
            <w:tcW w:w="2182"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Dependencia de socios</w:t>
            </w:r>
          </w:p>
        </w:tc>
        <w:tc>
          <w:tcPr>
            <w:tcW w:w="2778" w:type="dxa"/>
            <w:tcBorders>
              <w:start w:val="single" w:sz="4" w:space="0" w:color="000000"/>
              <w:bottom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Ciclo comercial largo</w:t>
            </w:r>
          </w:p>
        </w:tc>
        <w:tc>
          <w:tcPr>
            <w:tcW w:w="4962" w:type="dxa"/>
            <w:tcBorders>
              <w:start w:val="single" w:sz="4" w:space="0" w:color="000000"/>
              <w:bottom w:val="single" w:sz="4" w:space="0" w:color="000000"/>
              <w:end w:val="single" w:sz="4" w:space="0" w:color="000000"/>
            </w:tcBorders>
            <w:shd w:fill="F4F3EE" w:val="clear"/>
          </w:tcPr>
          <w:p>
            <w:pPr>
              <w:pStyle w:val="TableContents"/>
              <w:bidi w:val="0"/>
              <w:spacing w:before="51" w:after="51"/>
              <w:jc w:val="start"/>
              <w:rPr>
                <w:rFonts w:ascii="Liberation Sans" w:hAnsi="Liberation Sans"/>
                <w:b w:val="false"/>
                <w:color w:val="1B221F"/>
                <w:sz w:val="16"/>
              </w:rPr>
            </w:pPr>
            <w:r>
              <w:rPr>
                <w:b w:val="false"/>
                <w:color w:val="1B221F"/>
                <w:sz w:val="16"/>
              </w:rPr>
              <w:t>B2C funcional sin supermercado; pilotos acotados</w:t>
            </w:r>
          </w:p>
        </w:tc>
      </w:tr>
    </w:tbl>
    <w:p>
      <w:pPr>
        <w:pStyle w:val="Normal"/>
        <w:bidi w:val="0"/>
        <w:spacing w:lineRule="atLeast" w:line="0" w:before="23" w:after="113"/>
        <w:jc w:val="start"/>
        <w:rPr>
          <w:rFonts w:ascii="Liberation Sans" w:hAnsi="Liberation Sans"/>
          <w:b/>
          <w:i w:val="false"/>
          <w:color w:val="1F6B43"/>
          <w:sz w:val="36"/>
        </w:rPr>
      </w:pPr>
      <w:r>
        <w:rPr>
          <w:b/>
          <w:i w:val="false"/>
          <w:color w:val="1F6B43"/>
          <w:sz w:val="36"/>
        </w:rPr>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Plan de validación de 90 días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Días 1–30: entrevistas, analítica de eventos y cohorte piloto de 30 hogares.</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Días 31–60: paywall simulado, prueba de precio y prototipo de reporte premium.</w:t>
      </w:r>
    </w:p>
    <w:p>
      <w:pPr>
        <w:pStyle w:val="Normal"/>
        <w:bidi w:val="0"/>
        <w:spacing w:lineRule="atLeast" w:line="0" w:before="0" w:after="57"/>
        <w:jc w:val="start"/>
        <w:rPr>
          <w:rFonts w:ascii="Liberation Sans" w:hAnsi="Liberation Sans"/>
          <w:b w:val="false"/>
          <w:i w:val="false"/>
          <w:color w:val="1B221F"/>
          <w:sz w:val="20"/>
        </w:rPr>
      </w:pPr>
      <w:r>
        <w:rPr>
          <w:b w:val="false"/>
          <w:i w:val="false"/>
          <w:color w:val="1B221F"/>
          <w:sz w:val="20"/>
        </w:rPr>
        <w:t xml:space="preserve">•  </w:t>
      </w:r>
      <w:r>
        <w:rPr>
          <w:b w:val="false"/>
          <w:i w:val="false"/>
          <w:color w:val="1B221F"/>
          <w:sz w:val="20"/>
        </w:rPr>
        <w:t>Días 61–90: propuesta comercial, entrevistas con tres cadenas y diseño de un piloto.</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Recomendación final</w:t>
      </w:r>
    </w:p>
    <w:tbl>
      <w:tblPr>
        <w:tblW w:w="5000" w:type="pct"/>
        <w:jc w:val="start"/>
        <w:tblInd w:w="-5" w:type="dxa"/>
        <w:shd w:fill="FFFFFF" w:val="clear"/>
        <w:tblLayout w:type="fixed"/>
        <w:tblCellMar>
          <w:top w:w="55" w:type="dxa"/>
          <w:start w:w="55" w:type="dxa"/>
          <w:bottom w:w="55" w:type="dxa"/>
          <w:end w:w="55" w:type="dxa"/>
        </w:tblCellMar>
      </w:tblPr>
      <w:tblGrid>
        <w:gridCol w:w="9922"/>
      </w:tblGrid>
      <w:tr>
        <w:trPr/>
        <w:tc>
          <w:tcPr>
            <w:tcW w:w="9922" w:type="dxa"/>
            <w:tcBorders>
              <w:top w:val="single" w:sz="4" w:space="0" w:color="000000"/>
              <w:start w:val="single" w:sz="4" w:space="0" w:color="000000"/>
              <w:bottom w:val="single" w:sz="4" w:space="0" w:color="000000"/>
              <w:end w:val="single" w:sz="4" w:space="0" w:color="000000"/>
            </w:tcBorders>
            <w:shd w:fill="E5F1E8" w:val="clear"/>
          </w:tcPr>
          <w:p>
            <w:pPr>
              <w:pStyle w:val="TableContents"/>
              <w:bidi w:val="0"/>
              <w:spacing w:before="51" w:after="51"/>
              <w:jc w:val="center"/>
              <w:rPr>
                <w:rFonts w:ascii="Liberation Sans" w:hAnsi="Liberation Sans"/>
                <w:b/>
                <w:color w:val="1F6B43"/>
                <w:sz w:val="26"/>
              </w:rPr>
            </w:pPr>
            <w:r>
              <w:rPr>
                <w:b/>
                <w:color w:val="1F6B43"/>
                <w:sz w:val="26"/>
              </w:rPr>
              <w:t>Lanzar gratis para validar hábito; cobrar por automatización familiar; vender impacto y fidelización al supermercado.</w:t>
            </w:r>
          </w:p>
        </w:tc>
      </w:tr>
    </w:tbl>
    <w:p>
      <w:pPr>
        <w:pStyle w:val="Normal"/>
        <w:bidi w:val="0"/>
        <w:spacing w:lineRule="atLeast" w:line="0" w:before="57" w:after="57"/>
        <w:jc w:val="start"/>
        <w:rPr>
          <w:rFonts w:ascii="Liberation Sans" w:hAnsi="Liberation Sans"/>
          <w:b/>
          <w:i w:val="false"/>
          <w:color w:val="1B221F"/>
          <w:sz w:val="25"/>
        </w:rPr>
      </w:pPr>
      <w:r>
        <w:rPr>
          <w:b/>
          <w:i w:val="false"/>
          <w:color w:val="1B221F"/>
          <w:sz w:val="25"/>
        </w:rPr>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t>El modelo es atractivo porque no necesita que todos paguen. En el escenario base, una conversión B2C moderada genera señal de valor, mientras dos contratos B2B explican la mayor parte de la facturación inicial. Esa concentración también es el principal riesgo: antes de proyectar escala, FoodSense debe demostrar retención doméstica y voluntad real de compra empresarial.</w:t>
      </w:r>
      <w:r>
        <w:br w:type="page"/>
      </w:r>
    </w:p>
    <w:p>
      <w:pPr>
        <w:pStyle w:val="Normal"/>
        <w:bidi w:val="0"/>
        <w:spacing w:lineRule="atLeast" w:line="0" w:before="0" w:after="102"/>
        <w:jc w:val="start"/>
        <w:rPr>
          <w:rFonts w:ascii="Liberation Sans" w:hAnsi="Liberation Sans"/>
          <w:b w:val="false"/>
          <w:i w:val="false"/>
          <w:color w:val="1B221F"/>
          <w:sz w:val="21"/>
        </w:rPr>
      </w:pPr>
      <w:r>
        <w:rPr>
          <w:b w:val="false"/>
          <w:i w:val="false"/>
          <w:color w:val="1B221F"/>
          <w:sz w:val="21"/>
        </w:rPr>
      </w:r>
    </w:p>
    <w:p>
      <w:pPr>
        <w:pStyle w:val="Normal"/>
        <w:bidi w:val="0"/>
        <w:spacing w:lineRule="atLeast" w:line="0" w:before="23" w:after="113"/>
        <w:jc w:val="start"/>
        <w:rPr>
          <w:rFonts w:ascii="Liberation Sans" w:hAnsi="Liberation Sans"/>
          <w:b/>
          <w:i w:val="false"/>
          <w:color w:val="1F6B43"/>
          <w:sz w:val="36"/>
        </w:rPr>
      </w:pPr>
      <w:r>
        <w:rPr>
          <w:b/>
          <w:i w:val="false"/>
          <w:color w:val="1F6B43"/>
          <w:sz w:val="36"/>
        </w:rPr>
        <w:t>Referencias y notas metodológicas</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Centro de Estudios sobre Nutrición Infantil. (2025). Estimación del desperdicio de alimentos en el sector hogares en la Argentina. https://www.cesni.org.ar/estimacion-del-desperdicio-de-alimentos-en-el-sector-hogares</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Instituto Nacional de Estadística y Censos. (2023). Censo Nacional de Población, Hogares y Viviendas 2022: resultados definitivos. https://www.indec.gob.ar/ftp/cuadros/poblacion/censo2022_condiciones_habitacionales.pdf</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Instituto Nacional de Estadística y Censos. (2025). Acceso y uso de tecnologías de la información y la comunicación: cuarto trimestre de 2024. https://www.indec.gob.ar/uploads/informesdeprensa/mautic_05_25FD0D0C4A71.pdf</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Secretaría de Agricultura, Ganadería y Pesca. (2025). Desperdicio de alimentos en hogares de la Argentina: informe ejecutivo. https://alimentosargentinos.magyp.gob.ar/HomeAlimentos/PDA/documentos/informe-ejecutivo-ida-hogares.pdf</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United Nations Environment Programme. (2024). Food Waste Index Report 2024. https://www.unep.org/resources/publication/food-waste-index-report-2024</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Fridgo. (2026). Smart food inventory &amp; meal planning app. Recuperado en junio de 2026 de https://www.fridgo.top/</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Foodat. (2026). Pantry tracker app: features and pricing. Recuperado en junio de 2026 de https://www.foodat.co/</w:t>
      </w:r>
    </w:p>
    <w:p>
      <w:pPr>
        <w:pStyle w:val="Normal"/>
        <w:bidi w:val="0"/>
        <w:spacing w:lineRule="atLeast" w:line="0" w:before="0" w:after="96"/>
        <w:jc w:val="start"/>
        <w:rPr>
          <w:rFonts w:ascii="Liberation Sans" w:hAnsi="Liberation Sans"/>
          <w:b w:val="false"/>
          <w:i w:val="false"/>
          <w:color w:val="66706B"/>
          <w:sz w:val="17"/>
        </w:rPr>
      </w:pPr>
      <w:r>
        <w:rPr>
          <w:b w:val="false"/>
          <w:i w:val="false"/>
          <w:color w:val="66706B"/>
          <w:sz w:val="17"/>
        </w:rPr>
        <w:t>FoodSense. (2026). Repositorio y documentación interna del proyecto: arquitectura, flujo de ingreso, story mapping y diseño hi-fi.</w:t>
      </w:r>
    </w:p>
    <w:p>
      <w:pPr>
        <w:pStyle w:val="Normal"/>
        <w:bidi w:val="0"/>
        <w:spacing w:lineRule="atLeast" w:line="0" w:before="57" w:after="57"/>
        <w:jc w:val="start"/>
        <w:rPr>
          <w:rFonts w:ascii="Liberation Sans" w:hAnsi="Liberation Sans"/>
          <w:b/>
          <w:i w:val="false"/>
          <w:color w:val="1B221F"/>
          <w:sz w:val="25"/>
        </w:rPr>
      </w:pPr>
      <w:r>
        <w:rPr>
          <w:b/>
          <w:i w:val="false"/>
          <w:color w:val="1B221F"/>
          <w:sz w:val="25"/>
        </w:rPr>
        <w:t>Supuestos explícitos</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Los precios, conversiones, contratos y el segmento de 25–45 años son hipótesis a validar.</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El SAM combina dos fuentes oficiales como aproximación y no sustituye un estudio comercial.</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Los precios se expresan en USD para comparabilidad; una operación local cobraría en ARS.</w:t>
      </w:r>
    </w:p>
    <w:p>
      <w:pPr>
        <w:pStyle w:val="Normal"/>
        <w:bidi w:val="0"/>
        <w:spacing w:lineRule="atLeast" w:line="0" w:before="0" w:after="57"/>
        <w:jc w:val="start"/>
        <w:rPr>
          <w:rFonts w:ascii="Liberation Sans" w:hAnsi="Liberation Sans"/>
          <w:b w:val="false"/>
          <w:i w:val="false"/>
          <w:color w:val="66706B"/>
          <w:sz w:val="20"/>
        </w:rPr>
      </w:pPr>
      <w:r>
        <w:rPr>
          <w:b w:val="false"/>
          <w:i w:val="false"/>
          <w:color w:val="66706B"/>
          <w:sz w:val="20"/>
        </w:rPr>
        <w:t xml:space="preserve">•  </w:t>
      </w:r>
      <w:r>
        <w:rPr>
          <w:b w:val="false"/>
          <w:i w:val="false"/>
          <w:color w:val="66706B"/>
          <w:sz w:val="20"/>
        </w:rPr>
        <w:t>La planilla adjunta contiene las fórmulas y permite reemplazar todos los supuestos.</w:t>
      </w:r>
    </w:p>
    <w:p>
      <w:pPr>
        <w:pStyle w:val="Normal"/>
        <w:bidi w:val="0"/>
        <w:spacing w:lineRule="atLeast" w:line="0" w:before="170" w:after="102"/>
        <w:jc w:val="center"/>
        <w:rPr>
          <w:rFonts w:ascii="Liberation Sans" w:hAnsi="Liberation Sans"/>
          <w:b/>
          <w:i w:val="false"/>
          <w:color w:val="1F6B43"/>
          <w:sz w:val="18"/>
        </w:rPr>
      </w:pPr>
      <w:r>
        <w:rPr>
          <w:b/>
          <w:i w:val="false"/>
          <w:color w:val="1F6B43"/>
          <w:sz w:val="18"/>
        </w:rPr>
        <w:t>Cierre del documento</w:t>
      </w:r>
    </w:p>
    <w:p>
      <w:pPr>
        <w:pStyle w:val="Normal"/>
        <w:bidi w:val="0"/>
        <w:spacing w:lineRule="atLeast" w:line="0" w:before="170" w:after="102"/>
        <w:jc w:val="center"/>
        <w:rPr>
          <w:rFonts w:ascii="Liberation Sans" w:hAnsi="Liberation Sans"/>
          <w:b/>
          <w:i w:val="false"/>
          <w:color w:val="1F6B43"/>
          <w:sz w:val="18"/>
        </w:rPr>
      </w:pPr>
      <w:r>
        <w:rPr>
          <w:b/>
          <w:i w:val="false"/>
          <w:color w:val="1F6B43"/>
          <w:sz w:val="18"/>
        </w:rPr>
      </w:r>
    </w:p>
    <w:sectPr>
      <w:footerReference w:type="default" r:id="rId6"/>
      <w:type w:val="nextPage"/>
      <w:pgSz w:w="11906" w:h="16838"/>
      <w:pgMar w:left="992" w:right="992" w:gutter="0" w:header="0" w:top="822" w:footer="850" w:bottom="1219"/>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02"/>
      <w:jc w:val="both"/>
      <w:rPr>
        <w:rFonts w:ascii="Liberation Sans" w:hAnsi="Liberation Sans"/>
        <w:color w:val="8A938E"/>
        <w:sz w:val="16"/>
      </w:rPr>
    </w:pPr>
    <w:r>
      <w:rPr>
        <w:color w:val="8A938E"/>
        <w:sz w:val="16"/>
      </w:rPr>
      <w:t xml:space="preserve">FoodSense · Estrategia de negocio     </w:t>
    </w:r>
    <w:r>
      <w:rPr>
        <w:color w:val="8A938E"/>
        <w:sz w:val="16"/>
      </w:rPr>
      <w:fldChar w:fldCharType="begin"/>
    </w:r>
    <w:r>
      <w:rPr>
        <w:color w:val="8A938E"/>
        <w:sz w:val="16"/>
      </w:rPr>
      <w:instrText xml:space="preserve"> PAGE \* ARABIC </w:instrText>
    </w:r>
    <w:r>
      <w:rPr>
        <w:color w:val="8A938E"/>
        <w:sz w:val="16"/>
      </w:rPr>
      <w:fldChar w:fldCharType="separate"/>
    </w:r>
    <w:r>
      <w:rPr>
        <w:color w:val="8A938E"/>
        <w:sz w:val="16"/>
      </w:rPr>
      <w:t>12</w:t>
    </w:r>
    <w:r>
      <w:rPr>
        <w:color w:val="8A938E"/>
        <w:sz w:val="16"/>
      </w:rPr>
      <w:fldChar w:fldCharType="end"/>
    </w:r>
  </w:p>
</w:ftr>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spacing w:before="0" w:after="102"/>
    </w:pPr>
    <w:rPr>
      <w:rFonts w:ascii="Liberation Sans" w:hAnsi="Liberation Sans" w:eastAsia="Noto Serif CJK SC" w:cs="Liberation Sans"/>
      <w:color w:val="1B221F"/>
      <w:kern w:val="2"/>
      <w:sz w:val="21"/>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HeaderandFooter">
    <w:name w:val="Header and Footer"/>
    <w:basedOn w:val="Normal"/>
    <w:qFormat/>
    <w:pPr>
      <w:suppressLineNumbers/>
      <w:tabs>
        <w:tab w:val="clear" w:pos="709"/>
        <w:tab w:val="center" w:pos="4961" w:leader="none"/>
        <w:tab w:val="right" w:pos="9922"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2026-06-29T21:13:36Z</dcterms:created>
  <dc:creator/>
  <dc:description/>
  <dc:language>en-US</dc:language>
  <cp:lastModifiedBy/>
  <dcterms:modified xsi:type="dcterms:W3CDTF">2026-06-29T21:13:40Z</dcterms:modified>
  <cp:revision>1</cp:revision>
  <dc:subject/>
  <dc:title/>
</cp:coreProperties>
</file>