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Energy Scavenger Hunt Workbook POC</w:t>
      </w:r>
    </w:p>
    <w:p>
      <w:pPr>
        <w:spacing w:after="280"/>
        <w:jc w:val="center"/>
      </w:pPr>
      <w:r>
        <w:t>Baseline data collection workbook for manufacturing facility energy opportunities</w:t>
      </w:r>
    </w:p>
    <w:p>
      <w:pPr>
        <w:spacing w:after="180"/>
      </w:pPr>
      <w:r>
        <w:t>Use this workbook during an energy scavenger hunt to capture baseline data that can later be entered into MEASUR calculators. This proof of concept fully develops the Pump Systems section and keeps the remaining system sections as placeholders for future expansion.</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28"/>
        <w:gridCol w:w="6192"/>
      </w:tblGrid>
      <w:tr>
        <w:trPr/>
        <w:tc>
          <w:tcPr>
            <w:tcW w:type="dxa" w:w="3528"/>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Workbook setup field</w:t>
            </w:r>
          </w:p>
        </w:tc>
        <w:tc>
          <w:tcPr>
            <w:tcW w:type="dxa" w:w="6192"/>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Entry</w:t>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Facility</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Area or department</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Assessment date</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Assessor</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Team members</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Electricity rate</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$/kWh</w:t>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Operating schedule notes</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Data/source quality notes</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bl>
    <w:p>
      <w:pPr>
        <w:spacing w:after="40"/>
      </w:pPr>
    </w:p>
    <w:p>
      <w:pPr>
        <w:pStyle w:val="Heading2"/>
      </w:pPr>
      <w:r>
        <w:t>How to use this POC</w:t>
      </w:r>
    </w:p>
    <w:p>
      <w:pPr>
        <w:pStyle w:val="ListBullet"/>
      </w:pPr>
      <w:r>
        <w:t>Complete the setup fields once for the facility or area being reviewed.</w:t>
      </w:r>
    </w:p>
    <w:p>
      <w:pPr>
        <w:pStyle w:val="ListBullet"/>
      </w:pPr>
      <w:r>
        <w:t>Duplicate the Pump Systems records as needed for each pump or pump group.</w:t>
      </w:r>
    </w:p>
    <w:p>
      <w:pPr>
        <w:pStyle w:val="ListBullet"/>
      </w:pPr>
      <w:r>
        <w:t>Collect current baseline data only. Do not estimate modified conditions or savings in this POC.</w:t>
      </w:r>
    </w:p>
    <w:p>
      <w:pPr>
        <w:pStyle w:val="ListBullet"/>
      </w:pPr>
      <w:r>
        <w:t>Use placeholder sections to record candidate opportunities in other systems without expanding their calculator inputs yet.</w:t>
      </w:r>
    </w:p>
    <w:p>
      <w:pPr>
        <w:sectPr>
          <w:footerReference w:type="default" r:id="rId9"/>
          <w:pgSz w:w="12240" w:h="15840"/>
          <w:pgMar w:top="936" w:right="1080" w:bottom="936" w:left="1080" w:header="720" w:footer="720" w:gutter="0"/>
          <w:cols w:space="720"/>
          <w:docGrid w:linePitch="360"/>
        </w:sectPr>
      </w:pPr>
    </w:p>
    <w:p>
      <w:pPr>
        <w:pStyle w:val="Heading1"/>
      </w:pPr>
      <w:r>
        <w:t>Pump Systems</w:t>
      </w:r>
    </w:p>
    <w:p>
      <w:pPr>
        <w:spacing w:after="160"/>
      </w:pPr>
      <w:r>
        <w:t>This section is the developed proof of concept. It captures current baseline data for two pump opportunities and points the field team back to the matching MEASUR calculators.</w:t>
      </w:r>
    </w:p>
    <w:p>
      <w:pPr>
        <w:pStyle w:val="Heading2"/>
      </w:pPr>
      <w:r>
        <w:t>Opportunity 1 Shut off pumps when not needed</w:t>
      </w:r>
    </w:p>
    <w:p>
      <w:pPr>
        <w:spacing w:after="80"/>
      </w:pPr>
      <w:r>
        <w:t>MEASUR path: General &gt; Electricity Reduction</w:t>
      </w:r>
    </w:p>
    <w:p>
      <w:pPr>
        <w:spacing w:after="160"/>
      </w:pPr>
      <w:r>
        <w:t>Calculator context: Electricity Reduction is used to quantify savings from reducing electricity use. For this pump opportunity, it supports baseline data collection for reducing operating time or turning off equipment that is not needed.</w:t>
      </w:r>
    </w:p>
    <w:p>
      <w:pPr>
        <w:pStyle w:val="Heading3"/>
      </w:pPr>
      <w:r>
        <w:t>Baseline inputs for Electricity Reduction</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671"/>
        <w:gridCol w:w="1007"/>
        <w:gridCol w:w="2810"/>
      </w:tblGrid>
      <w:tr>
        <w:trPr/>
        <w:tc>
          <w:tcPr>
            <w:tcW w:type="dxa" w:w="2232"/>
            <w:vAlign w:val="center"/>
            <w:shd w:fill="1F4E79"/>
            <w:tcMar>
              <w:top w:w="85" w:type="dxa"/>
              <w:left w:w="85" w:type="dxa"/>
              <w:bottom w:w="85" w:type="dxa"/>
              <w:right w:w="85" w:type="dxa"/>
            </w:tcMar>
          </w:tcPr>
          <w:p>
            <w:pPr>
              <w:spacing w:before="0" w:after="0"/>
              <w:jc w:val="center"/>
            </w:pPr>
            <w:r>
              <w:rPr>
                <w:sz w:val="18"/>
              </w:rPr>
            </w:r>
            <w:r>
              <w:rPr>
                <w:rFonts w:ascii="Aptos" w:hAnsi="Aptos" w:eastAsia="Aptos"/>
                <w:b/>
                <w:color w:val="FFFFFF"/>
                <w:sz w:val="18"/>
              </w:rPr>
              <w:t>Input</w:t>
            </w:r>
          </w:p>
        </w:tc>
        <w:tc>
          <w:tcPr>
            <w:tcW w:type="dxa" w:w="3671"/>
            <w:vAlign w:val="center"/>
            <w:shd w:fill="1F4E79"/>
            <w:tcMar>
              <w:top w:w="85" w:type="dxa"/>
              <w:left w:w="85" w:type="dxa"/>
              <w:bottom w:w="85" w:type="dxa"/>
              <w:right w:w="85" w:type="dxa"/>
            </w:tcMar>
          </w:tcPr>
          <w:p>
            <w:pPr>
              <w:spacing w:before="0" w:after="0"/>
              <w:jc w:val="center"/>
            </w:pPr>
            <w:r>
              <w:rPr>
                <w:sz w:val="18"/>
              </w:rPr>
            </w:r>
            <w:r>
              <w:rPr>
                <w:rFonts w:ascii="Aptos" w:hAnsi="Aptos" w:eastAsia="Aptos"/>
                <w:b/>
                <w:color w:val="FFFFFF"/>
                <w:sz w:val="18"/>
              </w:rPr>
              <w:t>Context for field team</w:t>
            </w:r>
          </w:p>
        </w:tc>
        <w:tc>
          <w:tcPr>
            <w:tcW w:type="dxa" w:w="1007"/>
            <w:vAlign w:val="center"/>
            <w:shd w:fill="1F4E79"/>
            <w:tcMar>
              <w:top w:w="85" w:type="dxa"/>
              <w:left w:w="85" w:type="dxa"/>
              <w:bottom w:w="85" w:type="dxa"/>
              <w:right w:w="85" w:type="dxa"/>
            </w:tcMar>
          </w:tcPr>
          <w:p>
            <w:pPr>
              <w:spacing w:before="0" w:after="0"/>
              <w:jc w:val="center"/>
            </w:pPr>
            <w:r>
              <w:rPr>
                <w:sz w:val="18"/>
              </w:rPr>
            </w:r>
            <w:r>
              <w:rPr>
                <w:rFonts w:ascii="Aptos" w:hAnsi="Aptos" w:eastAsia="Aptos"/>
                <w:b/>
                <w:color w:val="FFFFFF"/>
                <w:sz w:val="18"/>
              </w:rPr>
              <w:t>Unit</w:t>
            </w:r>
          </w:p>
        </w:tc>
        <w:tc>
          <w:tcPr>
            <w:tcW w:type="dxa" w:w="2810"/>
            <w:vAlign w:val="center"/>
            <w:shd w:fill="1F4E79"/>
            <w:tcMar>
              <w:top w:w="85" w:type="dxa"/>
              <w:left w:w="85" w:type="dxa"/>
              <w:bottom w:w="85" w:type="dxa"/>
              <w:right w:w="85" w:type="dxa"/>
            </w:tcMar>
          </w:tcPr>
          <w:p>
            <w:pPr>
              <w:spacing w:before="0" w:after="0"/>
              <w:jc w:val="center"/>
            </w:pPr>
            <w:r>
              <w:rPr>
                <w:sz w:val="18"/>
              </w:rPr>
            </w:r>
            <w:r>
              <w:rPr>
                <w:rFonts w:ascii="Aptos" w:hAnsi="Aptos" w:eastAsia="Aptos"/>
                <w:b/>
                <w:color w:val="FFFFFF"/>
                <w:sz w:val="18"/>
              </w:rPr>
              <w:t>Baseline value or source</w:t>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Equipment or pump tag</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Name or tag used at the facility.</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Annual operating hours</w:t>
            </w:r>
          </w:p>
        </w:tc>
        <w:tc>
          <w:tcPr>
            <w:tcW w:type="dxa" w:w="367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Number of hours the equipment is on annually. Include normally scheduled overtime.</w:t>
            </w:r>
          </w:p>
        </w:tc>
        <w:tc>
          <w:tcPr>
            <w:tcW w:type="dxa" w:w="1007"/>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hrs/yr</w:t>
            </w:r>
          </w:p>
        </w:tc>
        <w:tc>
          <w:tcPr>
            <w:tcW w:type="dxa" w:w="2810"/>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Electricity cost</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Per unit cost of electricity used by the facility.</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$/kWh</w:t>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Measurement method</w:t>
            </w:r>
          </w:p>
        </w:tc>
        <w:tc>
          <w:tcPr>
            <w:tcW w:type="dxa" w:w="367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Default for this POC: Multimeter Reading.</w:t>
            </w:r>
          </w:p>
        </w:tc>
        <w:tc>
          <w:tcPr>
            <w:tcW w:type="dxa" w:w="1007"/>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c>
          <w:tcPr>
            <w:tcW w:type="dxa" w:w="2810"/>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Multimeter Reading</w:t>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Number of phases</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Select 1 for single-phase or 3 for three-phase equipment.</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1 or 3</w:t>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Supply voltage</w:t>
            </w:r>
          </w:p>
        </w:tc>
        <w:tc>
          <w:tcPr>
            <w:tcW w:type="dxa" w:w="367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Voltage measured by multimeter. Three-phase systems are often near 480 V.</w:t>
            </w:r>
          </w:p>
        </w:tc>
        <w:tc>
          <w:tcPr>
            <w:tcW w:type="dxa" w:w="1007"/>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V</w:t>
            </w:r>
          </w:p>
        </w:tc>
        <w:tc>
          <w:tcPr>
            <w:tcW w:type="dxa" w:w="2810"/>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Average current</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Current measured by multimeter while the pump is operating in the observed baseline condition.</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A</w:t>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Power factor</w:t>
            </w:r>
          </w:p>
        </w:tc>
        <w:tc>
          <w:tcPr>
            <w:tcW w:type="dxa" w:w="367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Use the plant uncorrected power factor when available.</w:t>
            </w:r>
          </w:p>
        </w:tc>
        <w:tc>
          <w:tcPr>
            <w:tcW w:type="dxa" w:w="1007"/>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c>
          <w:tcPr>
            <w:tcW w:type="dxa" w:w="2810"/>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Number of identical units</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Number of identical pumps represented by this record. Use 1 if pumps are not identical.</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count</w:t>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bl>
    <w:p>
      <w:pPr>
        <w:spacing w:after="40"/>
      </w:pPr>
    </w:p>
    <w:p>
      <w:r>
        <w:br w:type="page"/>
      </w:r>
    </w:p>
    <w:p>
      <w:pPr>
        <w:pStyle w:val="Heading3"/>
      </w:pPr>
      <w:r>
        <w:t>Optional alternate data if available</w:t>
      </w:r>
    </w:p>
    <w:p>
      <w:pPr>
        <w:spacing w:after="80"/>
      </w:pPr>
      <w:r>
        <w:t>Complete this area only when the field team has a better data source than the primary multimeter path.</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671"/>
        <w:gridCol w:w="1007"/>
        <w:gridCol w:w="2810"/>
      </w:tblGrid>
      <w:tr>
        <w:trPr/>
        <w:tc>
          <w:tcPr>
            <w:tcW w:type="dxa" w:w="2232"/>
            <w:vAlign w:val="center"/>
            <w:shd w:fill="1F4E79"/>
            <w:tcMar>
              <w:top w:w="85" w:type="dxa"/>
              <w:left w:w="85" w:type="dxa"/>
              <w:bottom w:w="85" w:type="dxa"/>
              <w:right w:w="85" w:type="dxa"/>
            </w:tcMar>
          </w:tcPr>
          <w:p>
            <w:pPr>
              <w:spacing w:before="0" w:after="0"/>
              <w:jc w:val="center"/>
            </w:pPr>
            <w:r>
              <w:rPr>
                <w:sz w:val="18"/>
              </w:rPr>
            </w:r>
            <w:r>
              <w:rPr>
                <w:rFonts w:ascii="Aptos" w:hAnsi="Aptos" w:eastAsia="Aptos"/>
                <w:b/>
                <w:color w:val="FFFFFF"/>
                <w:sz w:val="18"/>
              </w:rPr>
              <w:t>Input</w:t>
            </w:r>
          </w:p>
        </w:tc>
        <w:tc>
          <w:tcPr>
            <w:tcW w:type="dxa" w:w="3671"/>
            <w:vAlign w:val="center"/>
            <w:shd w:fill="1F4E79"/>
            <w:tcMar>
              <w:top w:w="85" w:type="dxa"/>
              <w:left w:w="85" w:type="dxa"/>
              <w:bottom w:w="85" w:type="dxa"/>
              <w:right w:w="85" w:type="dxa"/>
            </w:tcMar>
          </w:tcPr>
          <w:p>
            <w:pPr>
              <w:spacing w:before="0" w:after="0"/>
              <w:jc w:val="center"/>
            </w:pPr>
            <w:r>
              <w:rPr>
                <w:sz w:val="18"/>
              </w:rPr>
            </w:r>
            <w:r>
              <w:rPr>
                <w:rFonts w:ascii="Aptos" w:hAnsi="Aptos" w:eastAsia="Aptos"/>
                <w:b/>
                <w:color w:val="FFFFFF"/>
                <w:sz w:val="18"/>
              </w:rPr>
              <w:t>Context for field team</w:t>
            </w:r>
          </w:p>
        </w:tc>
        <w:tc>
          <w:tcPr>
            <w:tcW w:type="dxa" w:w="1007"/>
            <w:vAlign w:val="center"/>
            <w:shd w:fill="1F4E79"/>
            <w:tcMar>
              <w:top w:w="85" w:type="dxa"/>
              <w:left w:w="85" w:type="dxa"/>
              <w:bottom w:w="85" w:type="dxa"/>
              <w:right w:w="85" w:type="dxa"/>
            </w:tcMar>
          </w:tcPr>
          <w:p>
            <w:pPr>
              <w:spacing w:before="0" w:after="0"/>
              <w:jc w:val="center"/>
            </w:pPr>
            <w:r>
              <w:rPr>
                <w:sz w:val="18"/>
              </w:rPr>
            </w:r>
            <w:r>
              <w:rPr>
                <w:rFonts w:ascii="Aptos" w:hAnsi="Aptos" w:eastAsia="Aptos"/>
                <w:b/>
                <w:color w:val="FFFFFF"/>
                <w:sz w:val="18"/>
              </w:rPr>
              <w:t>Unit</w:t>
            </w:r>
          </w:p>
        </w:tc>
        <w:tc>
          <w:tcPr>
            <w:tcW w:type="dxa" w:w="2810"/>
            <w:vAlign w:val="center"/>
            <w:shd w:fill="1F4E79"/>
            <w:tcMar>
              <w:top w:w="85" w:type="dxa"/>
              <w:left w:w="85" w:type="dxa"/>
              <w:bottom w:w="85" w:type="dxa"/>
              <w:right w:w="85" w:type="dxa"/>
            </w:tcMar>
          </w:tcPr>
          <w:p>
            <w:pPr>
              <w:spacing w:before="0" w:after="0"/>
              <w:jc w:val="center"/>
            </w:pPr>
            <w:r>
              <w:rPr>
                <w:sz w:val="18"/>
              </w:rPr>
            </w:r>
            <w:r>
              <w:rPr>
                <w:rFonts w:ascii="Aptos" w:hAnsi="Aptos" w:eastAsia="Aptos"/>
                <w:b/>
                <w:color w:val="FFFFFF"/>
                <w:sz w:val="18"/>
              </w:rPr>
              <w:t>Baseline value or source</w:t>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Power meter reading</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Use when a power meter reading is available and preferred over multimeter data.</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kW</w:t>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Nameplate motor power</w:t>
            </w:r>
          </w:p>
        </w:tc>
        <w:tc>
          <w:tcPr>
            <w:tcW w:type="dxa" w:w="367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Use when estimating from motor nameplate data.</w:t>
            </w:r>
          </w:p>
        </w:tc>
        <w:tc>
          <w:tcPr>
            <w:tcW w:type="dxa" w:w="1007"/>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hp or kW</w:t>
            </w:r>
          </w:p>
        </w:tc>
        <w:tc>
          <w:tcPr>
            <w:tcW w:type="dxa" w:w="2810"/>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Motor and drive efficiency</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Ratio of mechanical work delivered to electrical power consumed.</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w:t>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Percent loaded</w:t>
            </w:r>
          </w:p>
        </w:tc>
        <w:tc>
          <w:tcPr>
            <w:tcW w:type="dxa" w:w="367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Estimated load compared to nameplate. Typical motor load factor may be near 75%.</w:t>
            </w:r>
          </w:p>
        </w:tc>
        <w:tc>
          <w:tcPr>
            <w:tcW w:type="dxa" w:w="1007"/>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w:t>
            </w:r>
          </w:p>
        </w:tc>
        <w:tc>
          <w:tcPr>
            <w:tcW w:type="dxa" w:w="2810"/>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Existing annual energy</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Use only if annual energy has already been calculated by another source.</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kWh</w:t>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bl>
    <w:p>
      <w:pPr>
        <w:spacing w:after="40"/>
      </w:pPr>
    </w:p>
    <w:p>
      <w:pPr>
        <w:pStyle w:val="Heading3"/>
      </w:pPr>
      <w:r>
        <w:t>Opportunity 1 field notes</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28"/>
        <w:gridCol w:w="6192"/>
      </w:tblGrid>
      <w:tr>
        <w:trPr/>
        <w:tc>
          <w:tcPr>
            <w:tcW w:type="dxa" w:w="3528"/>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Prompt</w:t>
            </w:r>
          </w:p>
        </w:tc>
        <w:tc>
          <w:tcPr>
            <w:tcW w:type="dxa" w:w="6192"/>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Field notes</w:t>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Schedule evidence</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Controls or interlocks</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Observed idle operation</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Photos or meter/source notes</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bl>
    <w:p>
      <w:pPr>
        <w:spacing w:after="40"/>
      </w:pPr>
    </w:p>
    <w:p>
      <w:pPr>
        <w:pStyle w:val="Heading3"/>
      </w:pPr>
      <w:r>
        <w:t>Ready for MEASUR entry checklist</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28"/>
        <w:gridCol w:w="6192"/>
      </w:tblGrid>
      <w:tr>
        <w:trPr/>
        <w:tc>
          <w:tcPr>
            <w:tcW w:type="dxa" w:w="3528"/>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r>
          </w:p>
        </w:tc>
        <w:tc>
          <w:tcPr>
            <w:tcW w:type="dxa" w:w="6192"/>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Baseline check</w:t>
            </w:r>
          </w:p>
        </w:tc>
      </w:tr>
      <w:tr>
        <w:trPr/>
        <w:tc>
          <w:tcPr>
            <w:tcW w:type="dxa" w:w="3528"/>
            <w:vAlign w:val="center"/>
            <w:tcMar>
              <w:top w:w="85" w:type="dxa"/>
              <w:left w:w="85" w:type="dxa"/>
              <w:bottom w:w="85" w:type="dxa"/>
              <w:right w:w="85" w:type="dxa"/>
            </w:tcMar>
          </w:tcPr>
          <w:p>
            <w:pPr>
              <w:spacing w:before="0" w:after="0"/>
              <w:jc w:val="center"/>
            </w:pPr>
            <w:r>
              <w:rPr>
                <w:sz w:val="18"/>
              </w:rPr>
            </w:r>
            <w:r>
              <w:rPr>
                <w:rFonts w:ascii="Aptos" w:hAnsi="Aptos" w:eastAsia="Aptos"/>
                <w:b w:val="0"/>
                <w:color w:val="000000"/>
                <w:sz w:val="18"/>
              </w:rPr>
              <w:t>□</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Baseline operating hours are documented.</w:t>
            </w:r>
          </w:p>
        </w:tc>
      </w:tr>
      <w:tr>
        <w:trPr/>
        <w:tc>
          <w:tcPr>
            <w:tcW w:type="dxa" w:w="3528"/>
            <w:vAlign w:val="center"/>
            <w:shd w:fill="F6F8FA"/>
            <w:tcMar>
              <w:top w:w="85" w:type="dxa"/>
              <w:left w:w="85" w:type="dxa"/>
              <w:bottom w:w="85" w:type="dxa"/>
              <w:right w:w="85" w:type="dxa"/>
            </w:tcMar>
          </w:tcPr>
          <w:p>
            <w:pPr>
              <w:spacing w:before="0" w:after="0"/>
              <w:jc w:val="center"/>
            </w:pPr>
            <w:r>
              <w:rPr>
                <w:sz w:val="18"/>
              </w:rPr>
            </w:r>
            <w:r>
              <w:rPr>
                <w:rFonts w:ascii="Aptos" w:hAnsi="Aptos" w:eastAsia="Aptos"/>
                <w:b w:val="0"/>
                <w:color w:val="000000"/>
                <w:sz w:val="18"/>
              </w:rPr>
              <w:t>□</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Electricity rate is available.</w:t>
            </w:r>
          </w:p>
        </w:tc>
      </w:tr>
      <w:tr>
        <w:trPr/>
        <w:tc>
          <w:tcPr>
            <w:tcW w:type="dxa" w:w="3528"/>
            <w:vAlign w:val="center"/>
            <w:tcMar>
              <w:top w:w="85" w:type="dxa"/>
              <w:left w:w="85" w:type="dxa"/>
              <w:bottom w:w="85" w:type="dxa"/>
              <w:right w:w="85" w:type="dxa"/>
            </w:tcMar>
          </w:tcPr>
          <w:p>
            <w:pPr>
              <w:spacing w:before="0" w:after="0"/>
              <w:jc w:val="center"/>
            </w:pPr>
            <w:r>
              <w:rPr>
                <w:sz w:val="18"/>
              </w:rPr>
            </w:r>
            <w:r>
              <w:rPr>
                <w:rFonts w:ascii="Aptos" w:hAnsi="Aptos" w:eastAsia="Aptos"/>
                <w:b w:val="0"/>
                <w:color w:val="000000"/>
                <w:sz w:val="18"/>
              </w:rPr>
              <w:t>□</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Multimeter method fields are complete or an alternate data method is clearly documented.</w:t>
            </w:r>
          </w:p>
        </w:tc>
      </w:tr>
      <w:tr>
        <w:trPr/>
        <w:tc>
          <w:tcPr>
            <w:tcW w:type="dxa" w:w="3528"/>
            <w:vAlign w:val="center"/>
            <w:shd w:fill="F6F8FA"/>
            <w:tcMar>
              <w:top w:w="85" w:type="dxa"/>
              <w:left w:w="85" w:type="dxa"/>
              <w:bottom w:w="85" w:type="dxa"/>
              <w:right w:w="85" w:type="dxa"/>
            </w:tcMar>
          </w:tcPr>
          <w:p>
            <w:pPr>
              <w:spacing w:before="0" w:after="0"/>
              <w:jc w:val="center"/>
            </w:pPr>
            <w:r>
              <w:rPr>
                <w:sz w:val="18"/>
              </w:rPr>
            </w:r>
            <w:r>
              <w:rPr>
                <w:rFonts w:ascii="Aptos" w:hAnsi="Aptos" w:eastAsia="Aptos"/>
                <w:b w:val="0"/>
                <w:color w:val="000000"/>
                <w:sz w:val="18"/>
              </w:rPr>
              <w:t>□</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Number of identical units is confirmed.</w:t>
            </w:r>
          </w:p>
        </w:tc>
      </w:tr>
      <w:tr>
        <w:trPr/>
        <w:tc>
          <w:tcPr>
            <w:tcW w:type="dxa" w:w="3528"/>
            <w:vAlign w:val="center"/>
            <w:tcMar>
              <w:top w:w="85" w:type="dxa"/>
              <w:left w:w="85" w:type="dxa"/>
              <w:bottom w:w="85" w:type="dxa"/>
              <w:right w:w="85" w:type="dxa"/>
            </w:tcMar>
          </w:tcPr>
          <w:p>
            <w:pPr>
              <w:spacing w:before="0" w:after="0"/>
              <w:jc w:val="center"/>
            </w:pPr>
            <w:r>
              <w:rPr>
                <w:sz w:val="18"/>
              </w:rPr>
            </w:r>
            <w:r>
              <w:rPr>
                <w:rFonts w:ascii="Aptos" w:hAnsi="Aptos" w:eastAsia="Aptos"/>
                <w:b w:val="0"/>
                <w:color w:val="000000"/>
                <w:sz w:val="18"/>
              </w:rPr>
              <w:t>□</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No modified condition or savings estimate has been entered in this POC.</w:t>
            </w:r>
          </w:p>
        </w:tc>
      </w:tr>
    </w:tbl>
    <w:p>
      <w:pPr>
        <w:spacing w:after="40"/>
      </w:pPr>
    </w:p>
    <w:p>
      <w:pPr>
        <w:sectPr>
          <w:pgSz w:w="12240" w:h="15840"/>
          <w:pgMar w:top="936" w:right="1080" w:bottom="936" w:left="1080" w:header="720" w:footer="720" w:gutter="0"/>
          <w:cols w:space="720"/>
          <w:docGrid w:linePitch="360"/>
        </w:sectPr>
      </w:pPr>
    </w:p>
    <w:p>
      <w:pPr>
        <w:pStyle w:val="Heading2"/>
      </w:pPr>
      <w:r>
        <w:t>Opportunity 2 Use VFD control instead of throttling valves</w:t>
      </w:r>
    </w:p>
    <w:p>
      <w:pPr>
        <w:spacing w:after="80"/>
      </w:pPr>
      <w:r>
        <w:t>MEASUR path: Pumps &gt; Valve Energy Loss</w:t>
      </w:r>
    </w:p>
    <w:p>
      <w:pPr>
        <w:spacing w:after="160"/>
      </w:pPr>
      <w:r>
        <w:t>Calculator context: Throttled valves bleed off fluid power to reduce flow. A VFD can adjust pump input energy and flow, which may reduce energy otherwise lost across the valve. This POC captures only the current throttled baseline condition.</w:t>
      </w:r>
    </w:p>
    <w:p>
      <w:pPr>
        <w:pStyle w:val="Heading3"/>
      </w:pPr>
      <w:r>
        <w:t>Baseline inputs for Valve Energy Loss</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671"/>
        <w:gridCol w:w="1007"/>
        <w:gridCol w:w="2810"/>
      </w:tblGrid>
      <w:tr>
        <w:trPr/>
        <w:tc>
          <w:tcPr>
            <w:tcW w:type="dxa" w:w="2232"/>
            <w:vAlign w:val="center"/>
            <w:shd w:fill="1F4E79"/>
            <w:tcMar>
              <w:top w:w="85" w:type="dxa"/>
              <w:left w:w="85" w:type="dxa"/>
              <w:bottom w:w="85" w:type="dxa"/>
              <w:right w:w="85" w:type="dxa"/>
            </w:tcMar>
          </w:tcPr>
          <w:p>
            <w:pPr>
              <w:spacing w:before="0" w:after="0"/>
              <w:jc w:val="center"/>
            </w:pPr>
            <w:r>
              <w:rPr>
                <w:sz w:val="18"/>
              </w:rPr>
            </w:r>
            <w:r>
              <w:rPr>
                <w:rFonts w:ascii="Aptos" w:hAnsi="Aptos" w:eastAsia="Aptos"/>
                <w:b/>
                <w:color w:val="FFFFFF"/>
                <w:sz w:val="18"/>
              </w:rPr>
              <w:t>Input</w:t>
            </w:r>
          </w:p>
        </w:tc>
        <w:tc>
          <w:tcPr>
            <w:tcW w:type="dxa" w:w="3671"/>
            <w:vAlign w:val="center"/>
            <w:shd w:fill="1F4E79"/>
            <w:tcMar>
              <w:top w:w="85" w:type="dxa"/>
              <w:left w:w="85" w:type="dxa"/>
              <w:bottom w:w="85" w:type="dxa"/>
              <w:right w:w="85" w:type="dxa"/>
            </w:tcMar>
          </w:tcPr>
          <w:p>
            <w:pPr>
              <w:spacing w:before="0" w:after="0"/>
              <w:jc w:val="center"/>
            </w:pPr>
            <w:r>
              <w:rPr>
                <w:sz w:val="18"/>
              </w:rPr>
            </w:r>
            <w:r>
              <w:rPr>
                <w:rFonts w:ascii="Aptos" w:hAnsi="Aptos" w:eastAsia="Aptos"/>
                <w:b/>
                <w:color w:val="FFFFFF"/>
                <w:sz w:val="18"/>
              </w:rPr>
              <w:t>Context for field team</w:t>
            </w:r>
          </w:p>
        </w:tc>
        <w:tc>
          <w:tcPr>
            <w:tcW w:type="dxa" w:w="1007"/>
            <w:vAlign w:val="center"/>
            <w:shd w:fill="1F4E79"/>
            <w:tcMar>
              <w:top w:w="85" w:type="dxa"/>
              <w:left w:w="85" w:type="dxa"/>
              <w:bottom w:w="85" w:type="dxa"/>
              <w:right w:w="85" w:type="dxa"/>
            </w:tcMar>
          </w:tcPr>
          <w:p>
            <w:pPr>
              <w:spacing w:before="0" w:after="0"/>
              <w:jc w:val="center"/>
            </w:pPr>
            <w:r>
              <w:rPr>
                <w:sz w:val="18"/>
              </w:rPr>
            </w:r>
            <w:r>
              <w:rPr>
                <w:rFonts w:ascii="Aptos" w:hAnsi="Aptos" w:eastAsia="Aptos"/>
                <w:b/>
                <w:color w:val="FFFFFF"/>
                <w:sz w:val="18"/>
              </w:rPr>
              <w:t>Unit</w:t>
            </w:r>
          </w:p>
        </w:tc>
        <w:tc>
          <w:tcPr>
            <w:tcW w:type="dxa" w:w="2810"/>
            <w:vAlign w:val="center"/>
            <w:shd w:fill="1F4E79"/>
            <w:tcMar>
              <w:top w:w="85" w:type="dxa"/>
              <w:left w:w="85" w:type="dxa"/>
              <w:bottom w:w="85" w:type="dxa"/>
              <w:right w:w="85" w:type="dxa"/>
            </w:tcMar>
          </w:tcPr>
          <w:p>
            <w:pPr>
              <w:spacing w:before="0" w:after="0"/>
              <w:jc w:val="center"/>
            </w:pPr>
            <w:r>
              <w:rPr>
                <w:sz w:val="18"/>
              </w:rPr>
            </w:r>
            <w:r>
              <w:rPr>
                <w:rFonts w:ascii="Aptos" w:hAnsi="Aptos" w:eastAsia="Aptos"/>
                <w:b/>
                <w:color w:val="FFFFFF"/>
                <w:sz w:val="18"/>
              </w:rPr>
              <w:t>Baseline value or source</w:t>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Annual operating hours</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Number of hours the valve participates in the pumping system each year. Use 8760 if it runs year-round.</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hrs/yr</w:t>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Electrical cost</w:t>
            </w:r>
          </w:p>
        </w:tc>
        <w:tc>
          <w:tcPr>
            <w:tcW w:type="dxa" w:w="367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The facility cost of electricity per kilowatt-hour.</w:t>
            </w:r>
          </w:p>
        </w:tc>
        <w:tc>
          <w:tcPr>
            <w:tcW w:type="dxa" w:w="1007"/>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$/kWh</w:t>
            </w:r>
          </w:p>
        </w:tc>
        <w:tc>
          <w:tcPr>
            <w:tcW w:type="dxa" w:w="2810"/>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Pump efficiency</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Hydraulic efficiency of the pump. Use 85% as a typical value if unknown.</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w:t>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Motor efficiency</w:t>
            </w:r>
          </w:p>
        </w:tc>
        <w:tc>
          <w:tcPr>
            <w:tcW w:type="dxa" w:w="367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Nameplate efficiency is preferred. Use 95% as a possible default if unknown.</w:t>
            </w:r>
          </w:p>
        </w:tc>
        <w:tc>
          <w:tcPr>
            <w:tcW w:type="dxa" w:w="1007"/>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w:t>
            </w:r>
          </w:p>
        </w:tc>
        <w:tc>
          <w:tcPr>
            <w:tcW w:type="dxa" w:w="2810"/>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Specific gravity</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Density of the working fluid relative to water. Water equals 1.</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Flow rate</w:t>
            </w:r>
          </w:p>
        </w:tc>
        <w:tc>
          <w:tcPr>
            <w:tcW w:type="dxa" w:w="367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Volume of fluid flow through the valve. Prefer measurement immediately upstream if appropriate.</w:t>
            </w:r>
          </w:p>
        </w:tc>
        <w:tc>
          <w:tcPr>
            <w:tcW w:type="dxa" w:w="1007"/>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gpm</w:t>
            </w:r>
          </w:p>
        </w:tc>
        <w:tc>
          <w:tcPr>
            <w:tcW w:type="dxa" w:w="2810"/>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Upstream pressure</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Gauge pressure before the valve.</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psi</w:t>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Upstream gauge elevation</w:t>
            </w:r>
          </w:p>
        </w:tc>
        <w:tc>
          <w:tcPr>
            <w:tcW w:type="dxa" w:w="367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Height difference of the upstream pressure gauge relative to the valve. Can be negative, zero, or positive.</w:t>
            </w:r>
          </w:p>
        </w:tc>
        <w:tc>
          <w:tcPr>
            <w:tcW w:type="dxa" w:w="1007"/>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ft</w:t>
            </w:r>
          </w:p>
        </w:tc>
        <w:tc>
          <w:tcPr>
            <w:tcW w:type="dxa" w:w="2810"/>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Downstream pressure</w:t>
            </w:r>
          </w:p>
        </w:tc>
        <w:tc>
          <w:tcPr>
            <w:tcW w:type="dxa" w:w="367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Gauge pressure after the valve.</w:t>
            </w:r>
          </w:p>
        </w:tc>
        <w:tc>
          <w:tcPr>
            <w:tcW w:type="dxa" w:w="1007"/>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psi</w:t>
            </w:r>
          </w:p>
        </w:tc>
        <w:tc>
          <w:tcPr>
            <w:tcW w:type="dxa" w:w="2810"/>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223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Downstream gauge elevation</w:t>
            </w:r>
          </w:p>
        </w:tc>
        <w:tc>
          <w:tcPr>
            <w:tcW w:type="dxa" w:w="367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Height difference of the downstream pressure gauge relative to the valve. Can be negative, zero, or positive.</w:t>
            </w:r>
          </w:p>
        </w:tc>
        <w:tc>
          <w:tcPr>
            <w:tcW w:type="dxa" w:w="1007"/>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ft</w:t>
            </w:r>
          </w:p>
        </w:tc>
        <w:tc>
          <w:tcPr>
            <w:tcW w:type="dxa" w:w="2810"/>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bl>
    <w:p>
      <w:pPr>
        <w:spacing w:after="40"/>
      </w:pPr>
    </w:p>
    <w:p>
      <w:r>
        <w:br w:type="page"/>
      </w:r>
    </w:p>
    <w:p>
      <w:pPr>
        <w:pStyle w:val="Heading3"/>
      </w:pPr>
      <w:r>
        <w:t>Opportunity 2 field notes</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28"/>
        <w:gridCol w:w="6192"/>
      </w:tblGrid>
      <w:tr>
        <w:trPr/>
        <w:tc>
          <w:tcPr>
            <w:tcW w:type="dxa" w:w="3528"/>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Prompt</w:t>
            </w:r>
          </w:p>
        </w:tc>
        <w:tc>
          <w:tcPr>
            <w:tcW w:type="dxa" w:w="6192"/>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Field notes</w:t>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Valve position and throttling behavior</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Measurement location</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Whether a VFD exists today</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Photos, gauge IDs, or source notes</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bl>
    <w:p>
      <w:pPr>
        <w:spacing w:after="40"/>
      </w:pPr>
    </w:p>
    <w:p>
      <w:pPr>
        <w:pStyle w:val="Heading3"/>
      </w:pPr>
      <w:r>
        <w:t>Ready for MEASUR entry checklist</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28"/>
        <w:gridCol w:w="6192"/>
      </w:tblGrid>
      <w:tr>
        <w:trPr/>
        <w:tc>
          <w:tcPr>
            <w:tcW w:type="dxa" w:w="3528"/>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r>
          </w:p>
        </w:tc>
        <w:tc>
          <w:tcPr>
            <w:tcW w:type="dxa" w:w="6192"/>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Baseline check</w:t>
            </w:r>
          </w:p>
        </w:tc>
      </w:tr>
      <w:tr>
        <w:trPr/>
        <w:tc>
          <w:tcPr>
            <w:tcW w:type="dxa" w:w="3528"/>
            <w:vAlign w:val="center"/>
            <w:tcMar>
              <w:top w:w="85" w:type="dxa"/>
              <w:left w:w="85" w:type="dxa"/>
              <w:bottom w:w="85" w:type="dxa"/>
              <w:right w:w="85" w:type="dxa"/>
            </w:tcMar>
          </w:tcPr>
          <w:p>
            <w:pPr>
              <w:spacing w:before="0" w:after="0"/>
              <w:jc w:val="center"/>
            </w:pPr>
            <w:r>
              <w:rPr>
                <w:sz w:val="18"/>
              </w:rPr>
            </w:r>
            <w:r>
              <w:rPr>
                <w:rFonts w:ascii="Aptos" w:hAnsi="Aptos" w:eastAsia="Aptos"/>
                <w:b w:val="0"/>
                <w:color w:val="000000"/>
                <w:sz w:val="18"/>
              </w:rPr>
              <w:t>□</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Flow and pressure readings represent the current throttled baseline condition.</w:t>
            </w:r>
          </w:p>
        </w:tc>
      </w:tr>
      <w:tr>
        <w:trPr/>
        <w:tc>
          <w:tcPr>
            <w:tcW w:type="dxa" w:w="3528"/>
            <w:vAlign w:val="center"/>
            <w:shd w:fill="F6F8FA"/>
            <w:tcMar>
              <w:top w:w="85" w:type="dxa"/>
              <w:left w:w="85" w:type="dxa"/>
              <w:bottom w:w="85" w:type="dxa"/>
              <w:right w:w="85" w:type="dxa"/>
            </w:tcMar>
          </w:tcPr>
          <w:p>
            <w:pPr>
              <w:spacing w:before="0" w:after="0"/>
              <w:jc w:val="center"/>
            </w:pPr>
            <w:r>
              <w:rPr>
                <w:sz w:val="18"/>
              </w:rPr>
            </w:r>
            <w:r>
              <w:rPr>
                <w:rFonts w:ascii="Aptos" w:hAnsi="Aptos" w:eastAsia="Aptos"/>
                <w:b w:val="0"/>
                <w:color w:val="000000"/>
                <w:sz w:val="18"/>
              </w:rPr>
              <w:t>□</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Pump and motor efficiencies are documented or default assumptions are marked.</w:t>
            </w:r>
          </w:p>
        </w:tc>
      </w:tr>
      <w:tr>
        <w:trPr/>
        <w:tc>
          <w:tcPr>
            <w:tcW w:type="dxa" w:w="3528"/>
            <w:vAlign w:val="center"/>
            <w:tcMar>
              <w:top w:w="85" w:type="dxa"/>
              <w:left w:w="85" w:type="dxa"/>
              <w:bottom w:w="85" w:type="dxa"/>
              <w:right w:w="85" w:type="dxa"/>
            </w:tcMar>
          </w:tcPr>
          <w:p>
            <w:pPr>
              <w:spacing w:before="0" w:after="0"/>
              <w:jc w:val="center"/>
            </w:pPr>
            <w:r>
              <w:rPr>
                <w:sz w:val="18"/>
              </w:rPr>
            </w:r>
            <w:r>
              <w:rPr>
                <w:rFonts w:ascii="Aptos" w:hAnsi="Aptos" w:eastAsia="Aptos"/>
                <w:b w:val="0"/>
                <w:color w:val="000000"/>
                <w:sz w:val="18"/>
              </w:rPr>
              <w:t>□</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Gauge elevations are recorded relative to the valve.</w:t>
            </w:r>
          </w:p>
        </w:tc>
      </w:tr>
      <w:tr>
        <w:trPr/>
        <w:tc>
          <w:tcPr>
            <w:tcW w:type="dxa" w:w="3528"/>
            <w:vAlign w:val="center"/>
            <w:shd w:fill="F6F8FA"/>
            <w:tcMar>
              <w:top w:w="85" w:type="dxa"/>
              <w:left w:w="85" w:type="dxa"/>
              <w:bottom w:w="85" w:type="dxa"/>
              <w:right w:w="85" w:type="dxa"/>
            </w:tcMar>
          </w:tcPr>
          <w:p>
            <w:pPr>
              <w:spacing w:before="0" w:after="0"/>
              <w:jc w:val="center"/>
            </w:pPr>
            <w:r>
              <w:rPr>
                <w:sz w:val="18"/>
              </w:rPr>
            </w:r>
            <w:r>
              <w:rPr>
                <w:rFonts w:ascii="Aptos" w:hAnsi="Aptos" w:eastAsia="Aptos"/>
                <w:b w:val="0"/>
                <w:color w:val="000000"/>
                <w:sz w:val="18"/>
              </w:rPr>
              <w:t>□</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Pipe diameters, valve diameter, and pipe sizing factor are not required for this POC because the current MEASUR calculation does not use them.</w:t>
            </w:r>
          </w:p>
        </w:tc>
      </w:tr>
      <w:tr>
        <w:trPr/>
        <w:tc>
          <w:tcPr>
            <w:tcW w:type="dxa" w:w="3528"/>
            <w:vAlign w:val="center"/>
            <w:tcMar>
              <w:top w:w="85" w:type="dxa"/>
              <w:left w:w="85" w:type="dxa"/>
              <w:bottom w:w="85" w:type="dxa"/>
              <w:right w:w="85" w:type="dxa"/>
            </w:tcMar>
          </w:tcPr>
          <w:p>
            <w:pPr>
              <w:spacing w:before="0" w:after="0"/>
              <w:jc w:val="center"/>
            </w:pPr>
            <w:r>
              <w:rPr>
                <w:sz w:val="18"/>
              </w:rPr>
            </w:r>
            <w:r>
              <w:rPr>
                <w:rFonts w:ascii="Aptos" w:hAnsi="Aptos" w:eastAsia="Aptos"/>
                <w:b w:val="0"/>
                <w:color w:val="000000"/>
                <w:sz w:val="18"/>
              </w:rPr>
              <w:t>□</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No lower-speed pressure drop or modified condition has been entered in this POC.</w:t>
            </w:r>
          </w:p>
        </w:tc>
      </w:tr>
    </w:tbl>
    <w:p>
      <w:pPr>
        <w:spacing w:after="40"/>
      </w:pPr>
    </w:p>
    <w:p>
      <w:r>
        <w:br w:type="page"/>
      </w:r>
    </w:p>
    <w:p>
      <w:pPr>
        <w:pStyle w:val="Heading1"/>
      </w:pPr>
      <w:r>
        <w:t>Fan Systems</w:t>
      </w:r>
    </w:p>
    <w:p>
      <w:pPr>
        <w:spacing w:after="160"/>
      </w:pPr>
      <w:r>
        <w:t>Placeholder section. Future workbook inputs will be added using the same baseline data collection pattern as Pump Systems.</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2951"/>
        <w:gridCol w:w="3385"/>
      </w:tblGrid>
      <w:tr>
        <w:trPr/>
        <w:tc>
          <w:tcPr>
            <w:tcW w:type="dxa" w:w="3384"/>
            <w:vAlign w:val="center"/>
            <w:shd w:fill="EDEDED"/>
            <w:tcMar>
              <w:top w:w="85" w:type="dxa"/>
              <w:left w:w="85" w:type="dxa"/>
              <w:bottom w:w="85" w:type="dxa"/>
              <w:right w:w="85" w:type="dxa"/>
            </w:tcMar>
          </w:tcPr>
          <w:p>
            <w:pPr>
              <w:spacing w:before="0" w:after="0"/>
              <w:jc w:val="center"/>
            </w:pPr>
            <w:r>
              <w:rPr>
                <w:sz w:val="18"/>
              </w:rPr>
            </w:r>
            <w:r>
              <w:rPr>
                <w:rFonts w:ascii="Aptos" w:hAnsi="Aptos" w:eastAsia="Aptos"/>
                <w:b/>
                <w:color w:val="000000"/>
                <w:sz w:val="18"/>
              </w:rPr>
              <w:t>Opportunity</w:t>
            </w:r>
          </w:p>
        </w:tc>
        <w:tc>
          <w:tcPr>
            <w:tcW w:type="dxa" w:w="2951"/>
            <w:vAlign w:val="center"/>
            <w:shd w:fill="EDEDED"/>
            <w:tcMar>
              <w:top w:w="85" w:type="dxa"/>
              <w:left w:w="85" w:type="dxa"/>
              <w:bottom w:w="85" w:type="dxa"/>
              <w:right w:w="85" w:type="dxa"/>
            </w:tcMar>
          </w:tcPr>
          <w:p>
            <w:pPr>
              <w:spacing w:before="0" w:after="0"/>
              <w:jc w:val="center"/>
            </w:pPr>
            <w:r>
              <w:rPr>
                <w:sz w:val="18"/>
              </w:rPr>
            </w:r>
            <w:r>
              <w:rPr>
                <w:rFonts w:ascii="Aptos" w:hAnsi="Aptos" w:eastAsia="Aptos"/>
                <w:b/>
                <w:color w:val="000000"/>
                <w:sz w:val="18"/>
              </w:rPr>
              <w:t>MEASUR calculator path</w:t>
            </w:r>
          </w:p>
        </w:tc>
        <w:tc>
          <w:tcPr>
            <w:tcW w:type="dxa" w:w="3385"/>
            <w:vAlign w:val="center"/>
            <w:shd w:fill="EDEDED"/>
            <w:tcMar>
              <w:top w:w="85" w:type="dxa"/>
              <w:left w:w="85" w:type="dxa"/>
              <w:bottom w:w="85" w:type="dxa"/>
              <w:right w:w="85" w:type="dxa"/>
            </w:tcMar>
          </w:tcPr>
          <w:p>
            <w:pPr>
              <w:spacing w:before="0" w:after="0"/>
              <w:jc w:val="center"/>
            </w:pPr>
            <w:r>
              <w:rPr>
                <w:sz w:val="18"/>
              </w:rPr>
            </w:r>
            <w:r>
              <w:rPr>
                <w:rFonts w:ascii="Aptos" w:hAnsi="Aptos" w:eastAsia="Aptos"/>
                <w:b/>
                <w:color w:val="000000"/>
                <w:sz w:val="18"/>
              </w:rPr>
              <w:t>Placeholder notes</w:t>
            </w:r>
          </w:p>
        </w:tc>
      </w:tr>
      <w:tr>
        <w:trPr/>
        <w:tc>
          <w:tcPr>
            <w:tcW w:type="dxa" w:w="3384"/>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Opportunity 1: Shut off fans when not needed</w:t>
            </w:r>
          </w:p>
        </w:tc>
        <w:tc>
          <w:tcPr>
            <w:tcW w:type="dxa" w:w="295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General &gt; Electricity Reduction</w:t>
            </w:r>
          </w:p>
        </w:tc>
        <w:tc>
          <w:tcPr>
            <w:tcW w:type="dxa" w:w="3385"/>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Future workbook inputs to be added.</w:t>
            </w:r>
          </w:p>
        </w:tc>
      </w:tr>
      <w:tr>
        <w:trPr/>
        <w:tc>
          <w:tcPr>
            <w:tcW w:type="dxa" w:w="3384"/>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Opportunity 2: Using VFD to modulate fan speed to control flow, instead of outlet control dampers</w:t>
            </w:r>
          </w:p>
        </w:tc>
        <w:tc>
          <w:tcPr>
            <w:tcW w:type="dxa" w:w="295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MEASUR Calculator Coming Soon</w:t>
            </w:r>
          </w:p>
        </w:tc>
        <w:tc>
          <w:tcPr>
            <w:tcW w:type="dxa" w:w="3385"/>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Future workbook inputs to be added.</w:t>
            </w:r>
          </w:p>
        </w:tc>
      </w:tr>
      <w:tr>
        <w:trPr/>
        <w:tc>
          <w:tcPr>
            <w:tcW w:type="dxa" w:w="3384"/>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Opportunity 3: Using notched V-Belt vs. smooth V-Belt</w:t>
            </w:r>
          </w:p>
        </w:tc>
        <w:tc>
          <w:tcPr>
            <w:tcW w:type="dxa" w:w="295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Motors &gt; Motor Drive Comparison</w:t>
            </w:r>
          </w:p>
        </w:tc>
        <w:tc>
          <w:tcPr>
            <w:tcW w:type="dxa" w:w="3385"/>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Future workbook inputs to be added.</w:t>
            </w:r>
          </w:p>
        </w:tc>
      </w:tr>
    </w:tbl>
    <w:p>
      <w:pPr>
        <w:spacing w:after="40"/>
      </w:pPr>
    </w:p>
    <w:p>
      <w:pPr>
        <w:pStyle w:val="Heading3"/>
      </w:pPr>
      <w:r>
        <w:t>System notes</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28"/>
        <w:gridCol w:w="6192"/>
      </w:tblGrid>
      <w:tr>
        <w:trPr/>
        <w:tc>
          <w:tcPr>
            <w:tcW w:type="dxa" w:w="3528"/>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Prompt</w:t>
            </w:r>
          </w:p>
        </w:tc>
        <w:tc>
          <w:tcPr>
            <w:tcW w:type="dxa" w:w="6192"/>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Field notes</w:t>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Observed operating condition</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Measurements or photos to collect later</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Open questions for future workbook expansion</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bl>
    <w:p>
      <w:pPr>
        <w:spacing w:after="40"/>
      </w:pPr>
    </w:p>
    <w:p>
      <w:r>
        <w:br w:type="page"/>
      </w:r>
    </w:p>
    <w:p>
      <w:pPr>
        <w:pStyle w:val="Heading1"/>
      </w:pPr>
      <w:r>
        <w:t>Lighting Systems</w:t>
      </w:r>
    </w:p>
    <w:p>
      <w:pPr>
        <w:spacing w:after="160"/>
      </w:pPr>
      <w:r>
        <w:t>Placeholder section. Future workbook inputs will be added using the same baseline data collection pattern as Pump Systems.</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2951"/>
        <w:gridCol w:w="3385"/>
      </w:tblGrid>
      <w:tr>
        <w:trPr/>
        <w:tc>
          <w:tcPr>
            <w:tcW w:type="dxa" w:w="3384"/>
            <w:vAlign w:val="center"/>
            <w:shd w:fill="EDEDED"/>
            <w:tcMar>
              <w:top w:w="85" w:type="dxa"/>
              <w:left w:w="85" w:type="dxa"/>
              <w:bottom w:w="85" w:type="dxa"/>
              <w:right w:w="85" w:type="dxa"/>
            </w:tcMar>
          </w:tcPr>
          <w:p>
            <w:pPr>
              <w:spacing w:before="0" w:after="0"/>
              <w:jc w:val="center"/>
            </w:pPr>
            <w:r>
              <w:rPr>
                <w:sz w:val="18"/>
              </w:rPr>
            </w:r>
            <w:r>
              <w:rPr>
                <w:rFonts w:ascii="Aptos" w:hAnsi="Aptos" w:eastAsia="Aptos"/>
                <w:b/>
                <w:color w:val="000000"/>
                <w:sz w:val="18"/>
              </w:rPr>
              <w:t>Opportunity</w:t>
            </w:r>
          </w:p>
        </w:tc>
        <w:tc>
          <w:tcPr>
            <w:tcW w:type="dxa" w:w="2951"/>
            <w:vAlign w:val="center"/>
            <w:shd w:fill="EDEDED"/>
            <w:tcMar>
              <w:top w:w="85" w:type="dxa"/>
              <w:left w:w="85" w:type="dxa"/>
              <w:bottom w:w="85" w:type="dxa"/>
              <w:right w:w="85" w:type="dxa"/>
            </w:tcMar>
          </w:tcPr>
          <w:p>
            <w:pPr>
              <w:spacing w:before="0" w:after="0"/>
              <w:jc w:val="center"/>
            </w:pPr>
            <w:r>
              <w:rPr>
                <w:sz w:val="18"/>
              </w:rPr>
            </w:r>
            <w:r>
              <w:rPr>
                <w:rFonts w:ascii="Aptos" w:hAnsi="Aptos" w:eastAsia="Aptos"/>
                <w:b/>
                <w:color w:val="000000"/>
                <w:sz w:val="18"/>
              </w:rPr>
              <w:t>MEASUR calculator path</w:t>
            </w:r>
          </w:p>
        </w:tc>
        <w:tc>
          <w:tcPr>
            <w:tcW w:type="dxa" w:w="3385"/>
            <w:vAlign w:val="center"/>
            <w:shd w:fill="EDEDED"/>
            <w:tcMar>
              <w:top w:w="85" w:type="dxa"/>
              <w:left w:w="85" w:type="dxa"/>
              <w:bottom w:w="85" w:type="dxa"/>
              <w:right w:w="85" w:type="dxa"/>
            </w:tcMar>
          </w:tcPr>
          <w:p>
            <w:pPr>
              <w:spacing w:before="0" w:after="0"/>
              <w:jc w:val="center"/>
            </w:pPr>
            <w:r>
              <w:rPr>
                <w:sz w:val="18"/>
              </w:rPr>
            </w:r>
            <w:r>
              <w:rPr>
                <w:rFonts w:ascii="Aptos" w:hAnsi="Aptos" w:eastAsia="Aptos"/>
                <w:b/>
                <w:color w:val="000000"/>
                <w:sz w:val="18"/>
              </w:rPr>
              <w:t>Placeholder notes</w:t>
            </w:r>
          </w:p>
        </w:tc>
      </w:tr>
      <w:tr>
        <w:trPr/>
        <w:tc>
          <w:tcPr>
            <w:tcW w:type="dxa" w:w="3384"/>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Opportunity 1: Turn off unnecessary light fixtures</w:t>
            </w:r>
          </w:p>
        </w:tc>
        <w:tc>
          <w:tcPr>
            <w:tcW w:type="dxa" w:w="295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General &gt; Electricity Reduction</w:t>
            </w:r>
          </w:p>
        </w:tc>
        <w:tc>
          <w:tcPr>
            <w:tcW w:type="dxa" w:w="3385"/>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Future workbook inputs to be added.</w:t>
            </w:r>
          </w:p>
        </w:tc>
      </w:tr>
      <w:tr>
        <w:trPr/>
        <w:tc>
          <w:tcPr>
            <w:tcW w:type="dxa" w:w="3384"/>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Opportunity 2: Replace inefficient light fixtures with more efficient LED fixtures</w:t>
            </w:r>
          </w:p>
        </w:tc>
        <w:tc>
          <w:tcPr>
            <w:tcW w:type="dxa" w:w="295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Lighting &gt; Lighting Replacement</w:t>
            </w:r>
          </w:p>
        </w:tc>
        <w:tc>
          <w:tcPr>
            <w:tcW w:type="dxa" w:w="3385"/>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Future workbook inputs to be added.</w:t>
            </w:r>
          </w:p>
        </w:tc>
      </w:tr>
    </w:tbl>
    <w:p>
      <w:pPr>
        <w:spacing w:after="40"/>
      </w:pPr>
    </w:p>
    <w:p>
      <w:pPr>
        <w:pStyle w:val="Heading3"/>
      </w:pPr>
      <w:r>
        <w:t>System notes</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28"/>
        <w:gridCol w:w="6192"/>
      </w:tblGrid>
      <w:tr>
        <w:trPr/>
        <w:tc>
          <w:tcPr>
            <w:tcW w:type="dxa" w:w="3528"/>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Prompt</w:t>
            </w:r>
          </w:p>
        </w:tc>
        <w:tc>
          <w:tcPr>
            <w:tcW w:type="dxa" w:w="6192"/>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Field notes</w:t>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Observed operating condition</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Measurements or photos to collect later</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Open questions for future workbook expansion</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bl>
    <w:p>
      <w:pPr>
        <w:spacing w:after="40"/>
      </w:pPr>
    </w:p>
    <w:p>
      <w:r>
        <w:br w:type="page"/>
      </w:r>
    </w:p>
    <w:p>
      <w:pPr>
        <w:pStyle w:val="Heading1"/>
      </w:pPr>
      <w:r>
        <w:t>Process Heating Systems</w:t>
      </w:r>
    </w:p>
    <w:p>
      <w:pPr>
        <w:spacing w:after="160"/>
      </w:pPr>
      <w:r>
        <w:t>Placeholder section. Future workbook inputs will be added using the same baseline data collection pattern as Pump Systems.</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2951"/>
        <w:gridCol w:w="3385"/>
      </w:tblGrid>
      <w:tr>
        <w:trPr/>
        <w:tc>
          <w:tcPr>
            <w:tcW w:type="dxa" w:w="3384"/>
            <w:vAlign w:val="center"/>
            <w:shd w:fill="EDEDED"/>
            <w:tcMar>
              <w:top w:w="85" w:type="dxa"/>
              <w:left w:w="85" w:type="dxa"/>
              <w:bottom w:w="85" w:type="dxa"/>
              <w:right w:w="85" w:type="dxa"/>
            </w:tcMar>
          </w:tcPr>
          <w:p>
            <w:pPr>
              <w:spacing w:before="0" w:after="0"/>
              <w:jc w:val="center"/>
            </w:pPr>
            <w:r>
              <w:rPr>
                <w:sz w:val="18"/>
              </w:rPr>
            </w:r>
            <w:r>
              <w:rPr>
                <w:rFonts w:ascii="Aptos" w:hAnsi="Aptos" w:eastAsia="Aptos"/>
                <w:b/>
                <w:color w:val="000000"/>
                <w:sz w:val="18"/>
              </w:rPr>
              <w:t>Opportunity</w:t>
            </w:r>
          </w:p>
        </w:tc>
        <w:tc>
          <w:tcPr>
            <w:tcW w:type="dxa" w:w="2951"/>
            <w:vAlign w:val="center"/>
            <w:shd w:fill="EDEDED"/>
            <w:tcMar>
              <w:top w:w="85" w:type="dxa"/>
              <w:left w:w="85" w:type="dxa"/>
              <w:bottom w:w="85" w:type="dxa"/>
              <w:right w:w="85" w:type="dxa"/>
            </w:tcMar>
          </w:tcPr>
          <w:p>
            <w:pPr>
              <w:spacing w:before="0" w:after="0"/>
              <w:jc w:val="center"/>
            </w:pPr>
            <w:r>
              <w:rPr>
                <w:sz w:val="18"/>
              </w:rPr>
            </w:r>
            <w:r>
              <w:rPr>
                <w:rFonts w:ascii="Aptos" w:hAnsi="Aptos" w:eastAsia="Aptos"/>
                <w:b/>
                <w:color w:val="000000"/>
                <w:sz w:val="18"/>
              </w:rPr>
              <w:t>MEASUR calculator path</w:t>
            </w:r>
          </w:p>
        </w:tc>
        <w:tc>
          <w:tcPr>
            <w:tcW w:type="dxa" w:w="3385"/>
            <w:vAlign w:val="center"/>
            <w:shd w:fill="EDEDED"/>
            <w:tcMar>
              <w:top w:w="85" w:type="dxa"/>
              <w:left w:w="85" w:type="dxa"/>
              <w:bottom w:w="85" w:type="dxa"/>
              <w:right w:w="85" w:type="dxa"/>
            </w:tcMar>
          </w:tcPr>
          <w:p>
            <w:pPr>
              <w:spacing w:before="0" w:after="0"/>
              <w:jc w:val="center"/>
            </w:pPr>
            <w:r>
              <w:rPr>
                <w:sz w:val="18"/>
              </w:rPr>
            </w:r>
            <w:r>
              <w:rPr>
                <w:rFonts w:ascii="Aptos" w:hAnsi="Aptos" w:eastAsia="Aptos"/>
                <w:b/>
                <w:color w:val="000000"/>
                <w:sz w:val="18"/>
              </w:rPr>
              <w:t>Placeholder notes</w:t>
            </w:r>
          </w:p>
        </w:tc>
      </w:tr>
      <w:tr>
        <w:trPr/>
        <w:tc>
          <w:tcPr>
            <w:tcW w:type="dxa" w:w="3384"/>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Opportunity 1: Optimize air-to-fuel ratio</w:t>
            </w:r>
          </w:p>
        </w:tc>
        <w:tc>
          <w:tcPr>
            <w:tcW w:type="dxa" w:w="295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Process Heating &gt; Flue Gas Loss</w:t>
            </w:r>
          </w:p>
        </w:tc>
        <w:tc>
          <w:tcPr>
            <w:tcW w:type="dxa" w:w="3385"/>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Future workbook inputs to be added.</w:t>
            </w:r>
          </w:p>
        </w:tc>
      </w:tr>
      <w:tr>
        <w:trPr/>
        <w:tc>
          <w:tcPr>
            <w:tcW w:type="dxa" w:w="3384"/>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Opportunity 2: Improve insulation level on the furnace to reduce wall loss</w:t>
            </w:r>
          </w:p>
        </w:tc>
        <w:tc>
          <w:tcPr>
            <w:tcW w:type="dxa" w:w="295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Process Heating &gt; Wall Loss</w:t>
            </w:r>
          </w:p>
        </w:tc>
        <w:tc>
          <w:tcPr>
            <w:tcW w:type="dxa" w:w="3385"/>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Future workbook inputs to be added.</w:t>
            </w:r>
          </w:p>
        </w:tc>
      </w:tr>
      <w:tr>
        <w:trPr/>
        <w:tc>
          <w:tcPr>
            <w:tcW w:type="dxa" w:w="3384"/>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Opportunity 3: Waste heat recovery</w:t>
            </w:r>
          </w:p>
        </w:tc>
        <w:tc>
          <w:tcPr>
            <w:tcW w:type="dxa" w:w="295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Process Heating &gt; Flue Gas Loss</w:t>
            </w:r>
          </w:p>
        </w:tc>
        <w:tc>
          <w:tcPr>
            <w:tcW w:type="dxa" w:w="3385"/>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Future workbook inputs to be added.</w:t>
            </w:r>
          </w:p>
        </w:tc>
      </w:tr>
    </w:tbl>
    <w:p>
      <w:pPr>
        <w:spacing w:after="40"/>
      </w:pPr>
    </w:p>
    <w:p>
      <w:pPr>
        <w:pStyle w:val="Heading3"/>
      </w:pPr>
      <w:r>
        <w:t>System notes</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28"/>
        <w:gridCol w:w="6192"/>
      </w:tblGrid>
      <w:tr>
        <w:trPr/>
        <w:tc>
          <w:tcPr>
            <w:tcW w:type="dxa" w:w="3528"/>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Prompt</w:t>
            </w:r>
          </w:p>
        </w:tc>
        <w:tc>
          <w:tcPr>
            <w:tcW w:type="dxa" w:w="6192"/>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Field notes</w:t>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Observed operating condition</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Measurements or photos to collect later</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Open questions for future workbook expansion</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bl>
    <w:p>
      <w:pPr>
        <w:spacing w:after="40"/>
      </w:pPr>
    </w:p>
    <w:p>
      <w:r>
        <w:br w:type="page"/>
      </w:r>
    </w:p>
    <w:p>
      <w:pPr>
        <w:pStyle w:val="Heading1"/>
      </w:pPr>
      <w:r>
        <w:t>Compressed Air Systems</w:t>
      </w:r>
    </w:p>
    <w:p>
      <w:pPr>
        <w:spacing w:after="160"/>
      </w:pPr>
      <w:r>
        <w:t>Placeholder section. Future workbook inputs will be added using the same baseline data collection pattern as Pump Systems.</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2951"/>
        <w:gridCol w:w="3385"/>
      </w:tblGrid>
      <w:tr>
        <w:trPr/>
        <w:tc>
          <w:tcPr>
            <w:tcW w:type="dxa" w:w="3384"/>
            <w:vAlign w:val="center"/>
            <w:shd w:fill="EDEDED"/>
            <w:tcMar>
              <w:top w:w="85" w:type="dxa"/>
              <w:left w:w="85" w:type="dxa"/>
              <w:bottom w:w="85" w:type="dxa"/>
              <w:right w:w="85" w:type="dxa"/>
            </w:tcMar>
          </w:tcPr>
          <w:p>
            <w:pPr>
              <w:spacing w:before="0" w:after="0"/>
              <w:jc w:val="center"/>
            </w:pPr>
            <w:r>
              <w:rPr>
                <w:sz w:val="18"/>
              </w:rPr>
            </w:r>
            <w:r>
              <w:rPr>
                <w:rFonts w:ascii="Aptos" w:hAnsi="Aptos" w:eastAsia="Aptos"/>
                <w:b/>
                <w:color w:val="000000"/>
                <w:sz w:val="18"/>
              </w:rPr>
              <w:t>Opportunity</w:t>
            </w:r>
          </w:p>
        </w:tc>
        <w:tc>
          <w:tcPr>
            <w:tcW w:type="dxa" w:w="2951"/>
            <w:vAlign w:val="center"/>
            <w:shd w:fill="EDEDED"/>
            <w:tcMar>
              <w:top w:w="85" w:type="dxa"/>
              <w:left w:w="85" w:type="dxa"/>
              <w:bottom w:w="85" w:type="dxa"/>
              <w:right w:w="85" w:type="dxa"/>
            </w:tcMar>
          </w:tcPr>
          <w:p>
            <w:pPr>
              <w:spacing w:before="0" w:after="0"/>
              <w:jc w:val="center"/>
            </w:pPr>
            <w:r>
              <w:rPr>
                <w:sz w:val="18"/>
              </w:rPr>
            </w:r>
            <w:r>
              <w:rPr>
                <w:rFonts w:ascii="Aptos" w:hAnsi="Aptos" w:eastAsia="Aptos"/>
                <w:b/>
                <w:color w:val="000000"/>
                <w:sz w:val="18"/>
              </w:rPr>
              <w:t>MEASUR calculator path</w:t>
            </w:r>
          </w:p>
        </w:tc>
        <w:tc>
          <w:tcPr>
            <w:tcW w:type="dxa" w:w="3385"/>
            <w:vAlign w:val="center"/>
            <w:shd w:fill="EDEDED"/>
            <w:tcMar>
              <w:top w:w="85" w:type="dxa"/>
              <w:left w:w="85" w:type="dxa"/>
              <w:bottom w:w="85" w:type="dxa"/>
              <w:right w:w="85" w:type="dxa"/>
            </w:tcMar>
          </w:tcPr>
          <w:p>
            <w:pPr>
              <w:spacing w:before="0" w:after="0"/>
              <w:jc w:val="center"/>
            </w:pPr>
            <w:r>
              <w:rPr>
                <w:sz w:val="18"/>
              </w:rPr>
            </w:r>
            <w:r>
              <w:rPr>
                <w:rFonts w:ascii="Aptos" w:hAnsi="Aptos" w:eastAsia="Aptos"/>
                <w:b/>
                <w:color w:val="000000"/>
                <w:sz w:val="18"/>
              </w:rPr>
              <w:t>Placeholder notes</w:t>
            </w:r>
          </w:p>
        </w:tc>
      </w:tr>
      <w:tr>
        <w:trPr/>
        <w:tc>
          <w:tcPr>
            <w:tcW w:type="dxa" w:w="3384"/>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Opportunity 1: Check the velocity in your piping</w:t>
            </w:r>
          </w:p>
        </w:tc>
        <w:tc>
          <w:tcPr>
            <w:tcW w:type="dxa" w:w="295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Compressed Air &gt; Velocity in the Piping</w:t>
            </w:r>
          </w:p>
        </w:tc>
        <w:tc>
          <w:tcPr>
            <w:tcW w:type="dxa" w:w="3385"/>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Future workbook inputs to be added.</w:t>
            </w:r>
          </w:p>
        </w:tc>
      </w:tr>
      <w:tr>
        <w:trPr/>
        <w:tc>
          <w:tcPr>
            <w:tcW w:type="dxa" w:w="3384"/>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Opportunity 2: Reduce inappropriate usage</w:t>
            </w:r>
          </w:p>
        </w:tc>
        <w:tc>
          <w:tcPr>
            <w:tcW w:type="dxa" w:w="2951"/>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Compressed Air &gt; Compressed Air Reduction</w:t>
            </w:r>
          </w:p>
        </w:tc>
        <w:tc>
          <w:tcPr>
            <w:tcW w:type="dxa" w:w="3385"/>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Future workbook inputs to be added.</w:t>
            </w:r>
          </w:p>
        </w:tc>
      </w:tr>
      <w:tr>
        <w:trPr/>
        <w:tc>
          <w:tcPr>
            <w:tcW w:type="dxa" w:w="3384"/>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Opportunity 3: Compressed air leaks quantification using bag method</w:t>
            </w:r>
          </w:p>
        </w:tc>
        <w:tc>
          <w:tcPr>
            <w:tcW w:type="dxa" w:w="2951"/>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Compressed Air &gt; Leak Loss Estimator - Bag Method</w:t>
            </w:r>
          </w:p>
        </w:tc>
        <w:tc>
          <w:tcPr>
            <w:tcW w:type="dxa" w:w="3385"/>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Future workbook inputs to be added.</w:t>
            </w:r>
          </w:p>
        </w:tc>
      </w:tr>
    </w:tbl>
    <w:p>
      <w:pPr>
        <w:spacing w:after="40"/>
      </w:pPr>
    </w:p>
    <w:p>
      <w:pPr>
        <w:pStyle w:val="Heading3"/>
      </w:pPr>
      <w:r>
        <w:t>System notes</w:t>
      </w:r>
    </w:p>
    <w:tbl>
      <w:tblPr>
        <w:tblW w:type="dxa" w:w="9720"/>
        <w:tblLayout w:type="fixed"/>
        <w:tblLook w:firstColumn="1" w:firstRow="1" w:lastColumn="0" w:lastRow="0" w:noHBand="0" w:noVBand="1" w:val="04A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28"/>
        <w:gridCol w:w="6192"/>
      </w:tblGrid>
      <w:tr>
        <w:trPr/>
        <w:tc>
          <w:tcPr>
            <w:tcW w:type="dxa" w:w="3528"/>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Prompt</w:t>
            </w:r>
          </w:p>
        </w:tc>
        <w:tc>
          <w:tcPr>
            <w:tcW w:type="dxa" w:w="6192"/>
            <w:vAlign w:val="center"/>
            <w:shd w:fill="D9EAF7"/>
            <w:tcMar>
              <w:top w:w="85" w:type="dxa"/>
              <w:left w:w="85" w:type="dxa"/>
              <w:bottom w:w="85" w:type="dxa"/>
              <w:right w:w="85" w:type="dxa"/>
            </w:tcMar>
          </w:tcPr>
          <w:p>
            <w:pPr>
              <w:spacing w:before="0" w:after="0"/>
              <w:jc w:val="center"/>
            </w:pPr>
            <w:r>
              <w:rPr>
                <w:sz w:val="18"/>
              </w:rPr>
            </w:r>
            <w:r>
              <w:rPr>
                <w:rFonts w:ascii="Aptos" w:hAnsi="Aptos" w:eastAsia="Aptos"/>
                <w:b/>
                <w:color w:val="000000"/>
                <w:sz w:val="18"/>
              </w:rPr>
              <w:t>Field notes</w:t>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Observed operating condition</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t>Measurements or photos to collect later</w:t>
            </w:r>
          </w:p>
        </w:tc>
        <w:tc>
          <w:tcPr>
            <w:tcW w:type="dxa" w:w="6192"/>
            <w:vAlign w:val="center"/>
            <w:shd w:fill="F6F8FA"/>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r>
        <w:trPr/>
        <w:tc>
          <w:tcPr>
            <w:tcW w:type="dxa" w:w="3528"/>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t>Open questions for future workbook expansion</w:t>
            </w:r>
          </w:p>
        </w:tc>
        <w:tc>
          <w:tcPr>
            <w:tcW w:type="dxa" w:w="6192"/>
            <w:vAlign w:val="center"/>
            <w:tcMar>
              <w:top w:w="85" w:type="dxa"/>
              <w:left w:w="85" w:type="dxa"/>
              <w:bottom w:w="85" w:type="dxa"/>
              <w:right w:w="85" w:type="dxa"/>
            </w:tcMar>
          </w:tcPr>
          <w:p>
            <w:pPr>
              <w:spacing w:before="0" w:after="0"/>
            </w:pPr>
            <w:r>
              <w:rPr>
                <w:sz w:val="18"/>
              </w:rPr>
            </w:r>
            <w:r>
              <w:rPr>
                <w:rFonts w:ascii="Aptos" w:hAnsi="Aptos" w:eastAsia="Aptos"/>
                <w:b w:val="0"/>
                <w:color w:val="000000"/>
                <w:sz w:val="18"/>
              </w:rPr>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Energy Scavenger Hunt Workbook POC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