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0"/>
        <w:ind w:firstLine="0"/>
        <w:jc w:val="center"/>
      </w:pPr>
      <w:r>
        <w:rPr>
          <w:rFonts w:ascii="TH Sarabun New" w:hAnsi="TH Sarabun New" w:eastAsia="TH Sarabun New" w:cs="TH Sarabun New"/>
          <w:b/>
          <w:i w:val="0"/>
          <w:color w:val="000000"/>
          <w:sz w:val="40"/>
          <w:lang w:val="th-TH" w:eastAsia="th-TH" w:bidi="th-TH"/>
        </w:rPr>
        <w:t>บทที่ 2</w:t>
      </w:r>
    </w:p>
    <w:p>
      <w:pPr>
        <w:keepNext/>
        <w:spacing w:after="240"/>
        <w:ind w:firstLine="0"/>
        <w:jc w:val="center"/>
      </w:pPr>
      <w:r>
        <w:rPr>
          <w:rFonts w:ascii="TH Sarabun New" w:hAnsi="TH Sarabun New" w:eastAsia="TH Sarabun New" w:cs="TH Sarabun New"/>
          <w:b/>
          <w:i w:val="0"/>
          <w:color w:val="000000"/>
          <w:sz w:val="40"/>
          <w:lang w:val="th-TH" w:eastAsia="th-TH" w:bidi="th-TH"/>
        </w:rPr>
        <w:t>ความรู้พื้นฐาน</w:t>
      </w:r>
    </w:p>
    <w:p>
      <w:pPr>
        <w:keepLines w:val="0"/>
        <w:spacing w:before="400" w:after="12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ในการจัดสร้างโครงงาน HandVox จำเป็นต้องศึกษาความรู้พื้นฐาน แนวคิด ทฤษฎี และงานวิจัยที่เกี่ยวข้อง ดังนี้</w:t>
      </w:r>
    </w:p>
    <w:p>
      <w:pPr>
        <w:keepLines/>
        <w:spacing w:before="0" w:after="0" w:line="240" w:lineRule="auto"/>
        <w:ind w:left="1134" w:hanging="425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2.1 แนวคิดและทฤษฎีที่เกี่ยวข้อง</w:t>
      </w:r>
    </w:p>
    <w:p>
      <w:pPr>
        <w:keepLines/>
        <w:spacing w:before="0" w:after="0" w:line="240" w:lineRule="auto"/>
        <w:ind w:left="1134" w:hanging="425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2.2 งานวิจัยที่เกี่ยวข้อง</w:t>
      </w:r>
    </w:p>
    <w:p>
      <w:pPr>
        <w:pStyle w:val="Heading1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2.1 แนวคิดและทฤษฎีที่เกี่ยวข้อง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เนื้อหาในบทนี้สืบค้นจาก Google Scholar โดยใช้คำค้นที่เกี่ยวข้องกับ sign language recognition, Thai sign language, MediaPipe, hand landmarks, Support Vector Machine และ real-time sign language translation แล้วตรวจสอบชื่อผู้แต่ง ปีเผยแพร่ วิธีดำเนินการ และผลการทดลองกับหน้าต้นฉบับของวารสารหรือการประชุมวิชาการก่อนนำมาเรียบเรียง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2.1.1 ภาษามือและการรู้จำ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ภาษามือเป็นภาษาธรรมชาติที่ประกอบด้วยรูปมือ ตำแหน่ง ทิศทาง การเคลื่อนไหว สีหน้า และโครงสร้างทางภาษา การรู้จำแบบแยกคำรับคลิปของท่าหนึ่งคำและส่งออกหนึ่งป้ายกำกับ ส่วนการรู้จำแบบต่อเนื่องต้องแบ่งหน่วยท่าจากวิดีโอหลายคำและจัดการบริบท HandVox เลือกขอบเขตแบบแยกคำเพื่อให้พัฒนาและประเมินต้นแบบได้ชัดเจน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Camgoz และคณะ (2018) อธิบายว่าการรู้จำภาษามือไม่ควรถูกมองเป็นเพียงการจำแนกท่าทาง เพราะภาษามือมีลำดับคำและโครงสร้างไวยากรณ์ที่แตกต่างจากภาษาพูด งานดังกล่าวแยกปัญหา Sign Language Recognition ซึ่งมุ่งระบุหน่วยท่า ออกจาก Sign Language Translation ซึ่งมุ่งสร้างประโยคภาษาพูดที่มีความหมายสอดคล้องกัน แนวคิดนี้ใช้กำหนดให้ HandVox รุ่นปัจจุบันเป็นระบบรู้จำแบบแยกคำ ไม่อ้างว่าเป็นระบบแปลภาษามืออย่างสมบูรณ์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การจำแนกรูปมือจากภาพนิ่งเหมาะกับคำที่รูปมือในช่วงใดช่วงหนึ่งมีข้อมูลเพียงพอ แต่ท่าจำนวนมากมีความหมายต่างกันจากทิศทาง การเคลื่อนเข้า–ออก การหมุนข้อมือ หรือการเปลี่ยนตำแหน่งสัมพันธ์กับร่างกาย หากใช้ภาพเพียงเฟรมเดียว ระบบอาจมองไม่เห็นลำดับดังกล่าว การใช้คลิปจึงช่วยให้แบบจำลองได้รับข้อมูลก่อน ระหว่าง และหลังการเคลื่อนไหว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สำหรับการรู้จำแบบแยกคำ ผู้เก็บข้อมูลต้องกำหนดจุดเริ่มและจุดสิ้นสุดของท่าให้ใกล้เคียงกันในทุกตัวอย่าง ถ้าบางคลิปเริ่มช้า บางคลิปจบเร็ว หรือมีช่วงอยู่นิ่งยาวเกินไป แบบจำลองอาจเรียนรู้จังหวะที่ไม่เกี่ยวข้องกับความหมาย HandVox จึงกำหนดจำนวนเฟรมคงที่และใช้คำแนะนำการเก็บข้อมูลแบบเดียวกันทุกคลาส</w:t>
      </w:r>
    </w:p>
    <w:tbl>
      <w:tblPr>
        <w:tblStyle w:val="TableGrid"/>
        <w:tblW w:type="dxa" w:w="8306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1474"/>
        <w:gridCol w:w="1984"/>
        <w:gridCol w:w="1928"/>
        <w:gridCol w:w="2920"/>
      </w:tblGrid>
      <w:tr>
        <w:trPr>
          <w:tblHeader w:val="true"/>
          <w:cantSplit w:val="true"/>
        </w:trPr>
        <w:tc>
          <w:tcPr>
            <w:tcW w:type="dxa" w:w="1474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8"/>
                <w:lang w:val="th-TH" w:eastAsia="th-TH" w:bidi="th-TH"/>
              </w:rPr>
              <w:t>รูปแบบ</w:t>
            </w:r>
          </w:p>
        </w:tc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8"/>
                <w:lang w:val="th-TH" w:eastAsia="th-TH" w:bidi="th-TH"/>
              </w:rPr>
              <w:t>ข้อมูลนำเข้า</w:t>
            </w:r>
          </w:p>
        </w:tc>
        <w:tc>
          <w:tcPr>
            <w:tcW w:type="dxa" w:w="1928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8"/>
                <w:lang w:val="th-TH" w:eastAsia="th-TH" w:bidi="th-TH"/>
              </w:rPr>
              <w:t>ผลลัพธ์</w:t>
            </w:r>
          </w:p>
        </w:tc>
        <w:tc>
          <w:tcPr>
            <w:tcW w:type="dxa" w:w="2920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8"/>
                <w:lang w:val="th-TH" w:eastAsia="th-TH" w:bidi="th-TH"/>
              </w:rPr>
              <w:t>ขอบเขต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lang w:val="th-TH" w:eastAsia="th-TH" w:bidi="th-TH"/>
              </w:rPr>
              <w:t>ภาพนิ่ง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lang w:val="th-TH" w:eastAsia="th-TH" w:bidi="th-TH"/>
              </w:rPr>
              <w:t>หนึ่งเฟรม</w:t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lang w:val="th-TH" w:eastAsia="th-TH" w:bidi="th-TH"/>
              </w:rPr>
              <w:t>คลาสของรูปมือ</w:t>
            </w:r>
          </w:p>
        </w:tc>
        <w:tc>
          <w:tcPr>
            <w:tcW w:type="dxa" w:w="29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lang w:val="th-TH" w:eastAsia="th-TH" w:bidi="th-TH"/>
              </w:rPr>
              <w:t>ไม่แทนลำดับการเคลื่อนไหว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lang w:val="th-TH" w:eastAsia="th-TH" w:bidi="th-TH"/>
              </w:rPr>
              <w:t>แบบแยกคำ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lang w:val="th-TH" w:eastAsia="th-TH" w:bidi="th-TH"/>
              </w:rPr>
              <w:t>คลิปของหนึ่งท่า</w:t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lang w:val="th-TH" w:eastAsia="th-TH" w:bidi="th-TH"/>
              </w:rPr>
              <w:t>หนึ่งคำหรือป้ายกำกับ</w:t>
            </w:r>
          </w:p>
        </w:tc>
        <w:tc>
          <w:tcPr>
            <w:tcW w:type="dxa" w:w="29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lang w:val="th-TH" w:eastAsia="th-TH" w:bidi="th-TH"/>
              </w:rPr>
              <w:t>เหมาะกับท่าที่มีจุดเริ่มและสิ้นสุดชัดเจน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lang w:val="th-TH" w:eastAsia="th-TH" w:bidi="th-TH"/>
              </w:rPr>
              <w:t>แบบต่อเนื่อง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lang w:val="th-TH" w:eastAsia="th-TH" w:bidi="th-TH"/>
              </w:rPr>
              <w:t>วิดีโอหลายท่าต่อกัน</w:t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lang w:val="th-TH" w:eastAsia="th-TH" w:bidi="th-TH"/>
              </w:rPr>
              <w:t>ลำดับคำหรือประโยค</w:t>
            </w:r>
          </w:p>
        </w:tc>
        <w:tc>
          <w:tcPr>
            <w:tcW w:type="dxa" w:w="29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lang w:val="th-TH" w:eastAsia="th-TH" w:bidi="th-TH"/>
              </w:rPr>
              <w:t>ต้องแบ่งหน่วยท่าและจัดการบริบท</w:t>
            </w:r>
          </w:p>
        </w:tc>
      </w:tr>
    </w:tbl>
    <w:p>
      <w:pPr>
        <w:pStyle w:val="Caption"/>
        <w:keepLines/>
        <w:spacing w:before="0" w:after="20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>ตารางที่ 2.1 การเปรียบเทียบรูปแบบการรู้จำ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การเลือกแบบแยกคำทำให้ขอบเขตของปัญหาชัดเจนและเหมาะกับชุดข้อมูลขนาดเล็ก ผู้ใช้ต้องทำท่าหนึ่งคำภายในหน้าต่างเก็บข้อมูล และระบบคืนผลหนึ่งป้ายกำกับต่อครั้ง ข้อดีคือสามารถตรวจผลรายคำได้ตรงไปตรงมา ส่วนข้อจำกัดคือยังไม่สามารถแบ่งคำจากการเคลื่อนไหวต่อเนื่องหรือเรียงผลเป็นประโยคภาษาพูดโดยอัตโนมัติ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2.1.2 การมองเห็นด้วยคอมพิวเตอร์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OpenCV ทำหน้าที่รับภาพจากกล้อง วาดส่วนติดต่อ และแสดงผล ส่วน MediaPipe Holistic ประมาณตำแหน่งจุดสำคัญของร่างกายและมือ การใช้พิกัดจุดสำคัญแทนภาพดิบช่วยลดมิติข้อมูลและทำให้ระบบเน้นโครงสร้างการเคลื่อนไหว แต่ผลยังขึ้นกับแสง มุมกล้อง การบังมือ และความเร็วของผู้ใช้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Lugaresi และคณะ (2019) เสนอ MediaPipe เป็นกรอบงานสำหรับสร้าง perception pipeline แบบข้ามแพลตฟอร์ม โดยเชื่อมส่วนรับสื่อ แบบจำลอง และการแปลงข้อมูลเป็นกราฟการประมวลผล ช่วยให้พัฒนาต้นแบบและวัดประสิทธิภาพบนอุปกรณ์เป้าหมายได้ ส่วน Zhang และคณะ (2020) พัฒนา MediaPipe Hands ซึ่งใช้ palm detector ร่วมกับ hand landmark model เพื่อประมาณโครงมือ 21 จุดจากภาพกล้องเดียวและทำงานแบบเวลาจริงบนอุปกรณ์เคลื่อนที่ แนวคิดทั้งสองเป็นฐานของการใช้ MediaPipe Holistic ใน HandVox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กระบวนการตรวจจับจุดสำคัญมีสองช่วงหลัก คือการตรวจว่าร่างกายหรือมืออยู่บริเวณใดในภาพ และการประมาณพิกัดของจุดข้อต่อภายในบริเวณนั้น เมื่อประมวลผลวิดีโอต่อเนื่อง ระบบสามารถติดตามตำแหน่งจากเฟรมก่อนหน้าเพื่อลดภาระการตรวจใหม่ทุกครั้ง แต่หากมือเคลื่อนเร็ว หลุดกรอบ หรือถูกบัง พิกัดอาจหายหรือกระโดดจนส่งผลต่อเวกเตอร์คุณลักษณะ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HandVox เปิดใช้งานการประมวลผลแบบวิดีโอต่อเนื่อง ใช้ model complexity ระดับกลาง เปิดการทำให้จุดต่อเนื่องราบรื่น และกำหนดค่าความเชื่อมั่นขั้นต่ำของการตรวจจับกับการติดตามเท่ากับ 0.70 การตั้งค่านี้เป็นจุดสมดุลเบื้องต้นระหว่างความเสถียรกับความเร็ว และควรทดสอบใหม่เมื่อเปลี่ยนกล้องหรือสภาพแวดล้อม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2.1.3 จุดสำคัญที่ใช้ใน HandVox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ระบบเลือกจุดช่วงบน 15 จุด และมือซ้ายกับมือขวาข้างละ 21 จุด แต่ละจุดมีพิกัด x, y และ z จึงมีข้อมูลรวม 171 ค่าในหนึ่งเฟรม หากพบมือเพียงข้างเดียว ระบบเติมศูนย์ให้ข้อมูลมืออีกข้างเพื่อรักษาขนาดข้อมูลให้เท่ากัน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จุดช่วงบนช่วยอธิบายตำแหน่งของมือเมื่อเทียบกับศีรษะ ไหล่ ศอก และลำตัว ขณะที่จุดมืออธิบายรูปนิ้วและทิศทางฝ่ามือ การใช้ทั้งสองกลุ่มร่วมกันเหมาะกับท่าที่รูปมือคล้ายกันแต่เกิดคนละตำแหน่ง หากไม่พบโครงร่างของช่วงบนหรือไม่พบมือทั้งสองข้าง ระบบจะไม่รับเฟรมนั้น เพราะข้อมูลไม่เพียงพอสำหรับสร้างตัวอย่างที่สอดคล้องกับชุดฝึก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การเติมศูนย์เมื่อพบมือเพียงข้างเดียวทำให้ทุกเฟรมมีจำนวนคุณลักษณะเท่ากัน แต่ศูนย์ในกรณีนี้หมายถึงข้อมูลที่ไม่ตรวจพบ ไม่ใช่ตำแหน่งจริงของมือ ดังนั้นสัดส่วนเฟรมที่มือหายไม่ควรมากเกินไป และควรตรวจคุณภาพคลิปก่อนรวมเข้าในชุดข้อมูล มิฉะนั้นแบบจำลองอาจเรียนรู้รูปแบบของข้อมูลหายแทนรูปแบบของท่าทาง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2.1.4 การปรับมาตรฐานและการแทนลำดับ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ระบบใช้จุดกึ่งกลางระหว่างไหล่เป็นจุดอ้างอิงและใช้ระยะระหว่างไหล่เป็นตัวปรับขนาด เพื่อลดผลจากตำแหน่งและระยะห่างจากกล้อง หนึ่งคลิปมี 30 เฟรม เฟรมละ 171 ค่า ก่อนฝึกจะเรียงเป็นเวกเตอร์ 5,130 ค่า โดยลำดับของตำแหน่งในเวกเตอร์ยังคงข้อมูลการเคลื่อนไหวตามเวลา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ให้ c เป็นจุดกึ่งกลางระหว่างไหล่ซ้ายกับไหล่ขวา และให้ s เป็นระยะยูคลิดระหว่างไหล่ พิกัดของจุดแต่ละจุดถูกเลื่อนด้วย c และหารด้วย s ก่อนจัดเก็บ วิธีนี้ลดผลจากการยืนค่อนไปทางซ้ายหรือขวาและการอยู่ใกล้หรือไกลกล้อง อย่างไรก็ตาม การปรับดังกล่าวยังไม่ทำให้ข้อมูลไม่แปรผันต่อการหมุนตัว มุมกล้อง หรือสัดส่วนร่างกายทั้งหมด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การเรียงข้อมูล 30 เฟรมต่อกันเป็นเวกเตอร์ทำให้ SVM สามารถใช้ข้อมูลเวลาได้โดยไม่ต้องมีโครงสร้างแบบจำลองลำดับเฉพาะ ตำแหน่งลำดับที่ 1–171 แทนเฟรมแรก และตำแหน่งช่วงท้ายแทนเฟรมที่ 30 ดังนั้นท่าที่เคลื่อนไหวในทิศทางตรงข้ามจะให้ลำดับค่าแตกต่างกัน แม้บางเฟรมจะมีรูปมือคล้ายกัน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ข้อจำกัดของการกำหนด 30 เฟรมคือผู้ทำท่าต้องปรับจังหวะให้พอดีกับหน้าต่างข้อมูล หากทำท่าเร็วมากจะมีช่วงอยู่นิ่งเหลือมาก แต่หากทำช้ามากท่าอาจไม่จบภายในคลิป แบบจำลองจึงอาจไวต่อความเร็ว การเก็บข้อมูลควรมีหลายจังหวะและในอนาคตอาจใช้การปรับแนวเวลา หรือแบบจำลองที่รองรับความยาวลำดับไม่เท่ากัน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2.1.5 Support Vector Machine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Cortes และ Vapnik (1995) เสนอ Support-Vector Networks สำหรับสร้างขอบเขตการตัดสินใจที่มีระยะห่างจากตัวอย่างสำคัญมากที่สุด และใช้การแปลงข้อมูลไปยังปริภูมิมิติสูงเพื่อรองรับข้อมูลที่ไม่สามารถแยกด้วยเส้นตรง แนวคิดดังกล่าวพัฒนาต่อมาเป็น SVM ที่ใช้ kernel ได้ HandVox ใช้ RBF kernel เพื่อรองรับความสัมพันธ์ที่ไม่เป็นเส้นตรง กำหนด C=10, gamma=scale, probability=True และ class_weight=balanced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ค่า C ควบคุมการแลกเปลี่ยนระหว่างการยอมให้มีข้อผิดพลาดบนข้อมูลฝึกกับการสร้างขอบเขตที่ยืดหยุ่น ค่า gamma กำหนดระยะอิทธิพลของตัวอย่างต่อรูปร่างขอบเขต ส่วน class_weight=balanced เพิ่มน้ำหนักให้คลาสที่มีตัวอย่างน้อยกว่า การตั้งค่าปัจจุบันยึดตามการทดลองของโครงการและควรปรับด้วยชุดตรวจสอบที่แยกจากชุดทดสอบเมื่อมีข้อมูลมากขึ้น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การเปิด probability ทำให้โปรแกรมใช้ predict_proba เพื่อรายงานค่าประกอบการตัดสินใจแบบเวลาจริง แต่ค่าความน่าจะเป็นดังกล่าวขึ้นกับการสอบเทียบของแบบจำลองและลักษณะข้อมูล ไม่ควรตีความว่าเป็นความถูกต้องที่รับประกันในทุกสภาพแวดล้อม เกณฑ์ 0.40 จึงเป็นค่าตั้งต้นที่ต้องตรวจสอบกับข้อมูลภายนอก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2.1.6 การแบ่งข้อมูลและการป้องกันการรั่วไหล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การแบ่งแบบ stratified ช่วยรักษาสัดส่วนของแต่ละคลาสระหว่างชุดฝึกกับชุดทดสอบ แต่ถ้าคลิปจากผู้ทำท่าหรือเซสชันเดียวกันกระจายอยู่ทั้งสองชุด คะแนนอาจสะท้อนความคล้ายของผู้ทำท่าและฉากหลังมากกว่าความสามารถกับผู้ใช้ใหม่ แนวทางที่เข้มงวดกว่าคือแบ่งตามรหัสผู้ให้ข้อมูลหรือเซสชัน และเก็บชุดทดสอบภายนอกที่ไม่ใช้ระหว่างการพัฒนา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2.1.7 การประเมินผล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Accuracy ใช้สรุปสัดส่วนการทำนายถูกทั้งหมด ส่วน Precision, Recall และ F1-score ช่วยพิจารณาผลรายคลาส ค่า Macro F1 ให้น้ำหนักทุกคลาสเท่ากัน และ Confusion Matrix แสดงคู่ท่าที่ระบบทำนายสับสน การแบ่งข้อมูลควรแยกผู้ทำท่าหรือเซสชันเพื่อป้องกันข้อมูลที่คล้ายกันรั่วไหลระหว่างชุดฝึกและชุดทดสอบ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2.1.8 การทำงานแบบเวลาจริงและเสียงพูด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ระบบสะสมคุณลักษณะล่าสุด 30 เฟรม รับผลที่มีค่าความเชื่อมั่นอย่างน้อย 0.40 และลงคะแนนจากผลล่าสุด 3 ครั้งเพื่อให้ข้อความนิ่งขึ้น ผลที่ยืนยันแล้วสามารถเพิ่มลงในประโยคและอ่านออกเสียงภาษาไทยผ่านระบบ Text-to-Speech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กลไกรวมผลย้อนหลังช่วยลดการเปลี่ยนป้ายกำกับไปมาระหว่างเฟรม แต่ทำให้เกิดความหน่วงเพิ่มขึ้นเล็กน้อย หากไม่พบมือนานกว่า 0.4 วินาที ระบบจะล้างคิวและสถานะเดิมเพื่อป้องกันผลเก่าค้างบนหน้าจอ การตั้งค่าทั้งสามส่วน ได้แก่ ขนาดหน้าต่าง เกณฑ์ความเชื่อมั่น และจำนวนผลย้อนหลัง มีผลต่อความไวกับความเสถียรของระบบ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ส่วน Text-to-Speech ทำหน้าที่เปลี่ยนชื่อท่าหรือข้อความสะสมเป็นเสียงภาษาไทย ช่วยส่งผลลัพธ์ไปยังคู่สนทนาโดยไม่ต้องอ่านหน้าจอ การสร้างเสียงทำงานแยกจากวงรอบกล้องเพื่อลดการหยุดค้าง แต่ gTTS ต้องใช้อินเทอร์เน็ต จึงควรมีทางเลือกเสียงแบบออฟไลน์ในรุ่นที่ต้องใช้งานในพื้นที่เครือข่ายไม่เสถียร</w:t>
      </w:r>
    </w:p>
    <w:p>
      <w:pPr>
        <w:pStyle w:val="Heading1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2.2 งานวิจัยที่เกี่ยวข้อง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การคัดเลือกงานวิจัยพิจารณาความใกล้เคียงกับ HandVox ใน 4 ด้าน ได้แก่ การรู้จำภาษามือไทย การใช้ภาพหรือจุดสำคัญของร่างกาย การจำแนกท่าจากลำดับเวลา และการทำงานแบบเวลาจริง งานที่นำมาอ้างอิงมีทั้งงานภาษาไทยซึ่งสะท้อนข้อจำกัดด้านข้อมูลในประเทศ และงานต่างประเทศที่แสดงแนวทางเมื่อจำนวนคำกับผู้ทำท่าเพิ่มขึ้น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2.2.1 การรู้จำนิ้วสะกดภาษาไทยด้วย SVM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Pariwat และ Seresangtakul (2017) ศึกษาการรู้จำนิ้วสะกดภาษาไทยจากคุณลักษณะภาพแบบ global และ local แล้วเปรียบเทียบ SVM หลาย kernel ข้อมูลที่รายงานในงานทบทวนภายหลังมี 15 ท่า 75 ภาพ จากผู้ทำท่า 5 คน ผลเฉลี่ยของ RBF kernel เท่ากับ 91.2% สูงกว่า linear, polynomial และ sigmoid งานนี้สนับสนุนการเลือก RBF สำหรับข้อมูลท่าทางที่ขอบเขตคลาสไม่เป็นเส้นตรง แต่เป็นภาพนิ่งและชุดข้อมูลขนาดเล็ก จึงไม่ยืนยันผลของ HandVox ที่ใช้ลำดับ 30 เฟรมโดยตรง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2.2.2 การรู้จำนิ้วสะกดภาษาไทยด้วย CNN และการปฏิเสธท่าที่ไม่รู้จัก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Nakjai และ Katanyukul (2019) พัฒนากระบวนการสองขั้นตอน คือค้นหาและตัดบริเวณมือ ก่อนจำแนกภาพด้วย CNN หรือ HOG งานใช้ท่านิ้วสะกดภาษาไทย 25 ท่า 125 ภาพ จากผู้ทำท่า 11 คน และรายงาน mean Average Precision 91.26 งานยังเสนอ confidence ratio เพื่อช่วยแยกท่าที่ถูกต้องออกจากท่าช่วงเปลี่ยนหรือท่าที่ไม่อยู่ในชุดคำ แนวคิดดังกล่าวชี้ว่า HandVox ควรมีสถานะ “ไม่ทราบ” แทนการบังคับเลือกหนึ่งใน 16 คลาสทุกครั้ง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2.2.3 ชุดข้อมูลวิดีโอเลขภาษามือไทย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Vijitkunsawat, Racharak, Nguyen และ Minh (2023) สร้างชุดข้อมูลวิดีโอเลขภาษามือไทย 9 ท่า มีประมาณ 63 วิดีโอต่อท่า รวม 567 วิดีโอจากผู้ทำท่า 21 คน แล้วเปรียบเทียบ CNN-Mode, CNN-LSTM, VGG-Mode และ VGG-LSTM ทั้งภาพเต็มกับภาพที่ตัดเฉพาะมือ ผลพบว่า VGG-LSTM ร่วมกับการประมวลผลล่วงหน้าให้ผลดีที่สุดทั้งชุดทดสอบภายในและภายนอก งานนี้แสดงความสำคัญของจำนวนผู้ทำท่า การเก็บข้อมูลเป็นวิดีโอ และการรายงานผลกับผู้ทำท่าที่ต่างจากชุดพัฒนา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2.2.4 ระบบตรวจจับภาษามือไทยด้วย MediaPipe และ LSTM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Damrongekarun, Pisitpipattana, Waijanya และ Promrit (2023) ใช้ MediaPipe ดึงจุดสำคัญของมือ ใบหน้า และท่าทางจากวิดีโอ แล้วใช้ LSTM วิเคราะห์ลำดับ แบ่งข้อมูลฝึกและทดสอบ 80:20 ได้ค่า Accuracy 0.83 และนำผลไปแสดงบนแอป Flutter ผ่าน Flask API งานนี้มีโครงสร้างใกล้ HandVox ในด้านการใช้พิกัดจุดสำคัญและการส่งผลเป็นข้อความไทย แต่เลือกแบบจำลองลำดับเชิงลึกแทน SVM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2.2.5 การแปลภาษามือไทยเป็นข้อความแบบเวลาจริง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Jintanachaiwat และคณะ (2024) ใช้ MediaPipe Holistic เก็บจุดมือ ร่างกาย และใบหน้าเป็นลำดับ 30 เฟรม เฟรมละ 1,662 ค่า แล้วเปรียบเทียบ RNN, Bi-RNN, LSTM, Bi-LSTM และ FNN-LSTM สำหรับคำภาษาไทยที่ใช้ในการประชุม ผลของ LSTM บนชุดทดสอบเท่ากับ 100% แต่ลดเหลือ 86% เมื่อทดสอบแบบเวลาจริง ผู้วิจัยระบุว่าการเก็บข้อมูลจากผู้ทำท่าเพียงคนเดียวเสี่ยงต่อ overfitting ผลดังกล่าวยืนยันว่าคะแนนจากชุดทดสอบภายในอาจสูงกว่าการใช้งานจริงและควรเก็บข้อมูลหลายบุคคล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2.2.6 ชุดข้อมูลภาษามือระดับคำขนาดใหญ่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Li, Rodriguez, Yu และ Li (2020) เสนอ WLASL ซึ่งมีภาษามืออเมริกันระดับคำมากกว่า 2,000 คำและผู้ทำท่ามากกว่า 100 คน พร้อมเปรียบเทียบวิธีที่ใช้ภาพลักษณะโดยรวมกับวิธีที่ใช้โครงร่าง และเสนอ Pose-TGCN เพื่อเรียนรู้ความสัมพันธ์เชิงพื้นที่กับเวลา งานนี้แสดงว่าความหลากหลายของผู้ทำท่าและขนาดคำศัพท์ทำให้ปัญหายากขึ้นมาก การเพิ่มคลาสใน HandVox จึงต้องเพิ่มข้อมูลและทดสอบวิธีลำดับที่ซับซ้อนกว่า SVM ควบคู่กัน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2.2.7 การรู้จำและการแปลภาษามือต่อเนื่อง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Camgoz, Hadfield, Koller, Ney และ Bowden (2018) เสนอปัญหา Neural Sign Language Translation และชุดข้อมูล RWTH-PHOENIX-Weather 2014T ซึ่งมีมากกว่า 67,000 หน่วยท่าจากคำศัพท์ภาษามือมากกว่า 1,000 หน่วย งานใช้แนวคิด Neural Machine Translation เพื่อเชื่อมวิดีโอกับประโยคภาษาพูด ผลงานนี้มีขอบเขตกว้างกว่า HandVox เพราะต้องแบ่งท่าต่อเนื่องและจัดการไวยากรณ์ แต่เป็นแนวทางระยะยาวสำหรับการพัฒนาจากการสะสมคำไปสู่การแปลประโยค</w:t>
      </w:r>
    </w:p>
    <w:tbl>
      <w:tblPr>
        <w:tblStyle w:val="TableGrid"/>
        <w:tblW w:type="dxa" w:w="8306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2098"/>
        <w:gridCol w:w="2636"/>
        <w:gridCol w:w="1786"/>
        <w:gridCol w:w="1786"/>
      </w:tblGrid>
      <w:tr>
        <w:trPr>
          <w:tblHeader w:val="true"/>
          <w:cantSplit w:val="true"/>
        </w:trPr>
        <w:tc>
          <w:tcPr>
            <w:tcW w:type="dxa" w:w="2098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2"/>
                <w:lang w:val="th-TH" w:eastAsia="th-TH" w:bidi="th-TH"/>
              </w:rPr>
              <w:t>ผู้วิจัยและปี</w:t>
            </w:r>
          </w:p>
        </w:tc>
        <w:tc>
          <w:tcPr>
            <w:tcW w:type="dxa" w:w="2636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2"/>
                <w:lang w:val="th-TH" w:eastAsia="th-TH" w:bidi="th-TH"/>
              </w:rPr>
              <w:t>ข้อมูลและวิธี</w:t>
            </w:r>
          </w:p>
        </w:tc>
        <w:tc>
          <w:tcPr>
            <w:tcW w:type="dxa" w:w="1786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2"/>
                <w:lang w:val="th-TH" w:eastAsia="th-TH" w:bidi="th-TH"/>
              </w:rPr>
              <w:t>ผลสำคัญ</w:t>
            </w:r>
          </w:p>
        </w:tc>
        <w:tc>
          <w:tcPr>
            <w:tcW w:type="dxa" w:w="1786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2"/>
                <w:lang w:val="th-TH" w:eastAsia="th-TH" w:bidi="th-TH"/>
              </w:rPr>
              <w:t>สิ่งที่ HandVox นำมาใช้</w:t>
            </w:r>
          </w:p>
        </w:tc>
      </w:tr>
      <w:tr>
        <w:trPr>
          <w:cantSplit w:val="true"/>
        </w:trPr>
        <w:tc>
          <w:tcPr>
            <w:tcW w:type="dxa" w:w="20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2"/>
                <w:lang w:val="th-TH" w:eastAsia="th-TH" w:bidi="th-TH"/>
              </w:rPr>
              <w:t>Pariwat และ Seresangtakul (2017)</w:t>
              <w:br/>
              <w:t>KST 2017, หน้า 116–120</w:t>
            </w:r>
          </w:p>
        </w:tc>
        <w:tc>
          <w:tcPr>
            <w:tcW w:type="dxa" w:w="26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2"/>
                <w:lang w:val="th-TH" w:eastAsia="th-TH" w:bidi="th-TH"/>
              </w:rPr>
              <w:t>15 ท่า; 75 ภาพ; 5 คน; คุณลักษณะ global/local และ SVM</w:t>
            </w:r>
          </w:p>
        </w:tc>
        <w:tc>
          <w:tcPr>
            <w:tcW w:type="dxa" w:w="17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2"/>
                <w:lang w:val="th-TH" w:eastAsia="th-TH" w:bidi="th-TH"/>
              </w:rPr>
              <w:t>RBF เฉลี่ย 91.2%</w:t>
            </w:r>
          </w:p>
        </w:tc>
        <w:tc>
          <w:tcPr>
            <w:tcW w:type="dxa" w:w="17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2"/>
                <w:lang w:val="th-TH" w:eastAsia="th-TH" w:bidi="th-TH"/>
              </w:rPr>
              <w:t>เลือก RBF และระบุข้อจำกัดของข้อมูลขนาดเล็ก</w:t>
            </w:r>
          </w:p>
        </w:tc>
      </w:tr>
      <w:tr>
        <w:trPr>
          <w:cantSplit w:val="true"/>
        </w:trPr>
        <w:tc>
          <w:tcPr>
            <w:tcW w:type="dxa" w:w="20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2"/>
                <w:lang w:val="th-TH" w:eastAsia="th-TH" w:bidi="th-TH"/>
              </w:rPr>
              <w:t>Nakjai และ Katanyukul (2019)</w:t>
              <w:br/>
              <w:t>DOI: 10.1007/s11265-018-1375-6</w:t>
            </w:r>
          </w:p>
        </w:tc>
        <w:tc>
          <w:tcPr>
            <w:tcW w:type="dxa" w:w="26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2"/>
                <w:lang w:val="th-TH" w:eastAsia="th-TH" w:bidi="th-TH"/>
              </w:rPr>
              <w:t>25 ท่า; 125 ภาพ; 11 คน; CNN เทียบ HOG</w:t>
            </w:r>
          </w:p>
        </w:tc>
        <w:tc>
          <w:tcPr>
            <w:tcW w:type="dxa" w:w="17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2"/>
                <w:lang w:val="th-TH" w:eastAsia="th-TH" w:bidi="th-TH"/>
              </w:rPr>
              <w:t>mAP 91.26 และเสนอ confidence ratio</w:t>
            </w:r>
          </w:p>
        </w:tc>
        <w:tc>
          <w:tcPr>
            <w:tcW w:type="dxa" w:w="17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2"/>
                <w:lang w:val="th-TH" w:eastAsia="th-TH" w:bidi="th-TH"/>
              </w:rPr>
              <w:t>เสนอให้เพิ่มสถานะไม่ทราบและตรวจท่าช่วงเปลี่ยน</w:t>
            </w:r>
          </w:p>
        </w:tc>
      </w:tr>
      <w:tr>
        <w:trPr>
          <w:cantSplit w:val="true"/>
        </w:trPr>
        <w:tc>
          <w:tcPr>
            <w:tcW w:type="dxa" w:w="20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2"/>
                <w:lang w:val="th-TH" w:eastAsia="th-TH" w:bidi="th-TH"/>
              </w:rPr>
              <w:t>Vijitkunsawat และคณะ (2023)</w:t>
              <w:br/>
              <w:t>DOI: 10.5220/0011643700003411</w:t>
            </w:r>
          </w:p>
        </w:tc>
        <w:tc>
          <w:tcPr>
            <w:tcW w:type="dxa" w:w="26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2"/>
                <w:lang w:val="th-TH" w:eastAsia="th-TH" w:bidi="th-TH"/>
              </w:rPr>
              <w:t>9 ท่าเลข; 567 วิดีโอ; 21 คน; CNN/LSTM และ VGG/LSTM</w:t>
            </w:r>
          </w:p>
        </w:tc>
        <w:tc>
          <w:tcPr>
            <w:tcW w:type="dxa" w:w="17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2"/>
                <w:lang w:val="th-TH" w:eastAsia="th-TH" w:bidi="th-TH"/>
              </w:rPr>
              <w:t>VGG-LSTM หลังตัดบริเวณมือให้ผลดีที่สุด</w:t>
            </w:r>
          </w:p>
        </w:tc>
        <w:tc>
          <w:tcPr>
            <w:tcW w:type="dxa" w:w="17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2"/>
                <w:lang w:val="th-TH" w:eastAsia="th-TH" w:bidi="th-TH"/>
              </w:rPr>
              <w:t>เก็บวิดีโอหลายคนและแยกทดสอบภายนอก</w:t>
            </w:r>
          </w:p>
        </w:tc>
      </w:tr>
      <w:tr>
        <w:trPr>
          <w:cantSplit w:val="true"/>
        </w:trPr>
        <w:tc>
          <w:tcPr>
            <w:tcW w:type="dxa" w:w="20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2"/>
                <w:lang w:val="th-TH" w:eastAsia="th-TH" w:bidi="th-TH"/>
              </w:rPr>
              <w:t>Damrongekarun และคณะ (2023)</w:t>
              <w:br/>
              <w:t>DOI: 10.14456/kkuscij.2023.19</w:t>
            </w:r>
          </w:p>
        </w:tc>
        <w:tc>
          <w:tcPr>
            <w:tcW w:type="dxa" w:w="26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2"/>
                <w:lang w:val="th-TH" w:eastAsia="th-TH" w:bidi="th-TH"/>
              </w:rPr>
              <w:t>MediaPipe landmarks, LSTM, แบ่ง 80:20 และแอป Flutter</w:t>
            </w:r>
          </w:p>
        </w:tc>
        <w:tc>
          <w:tcPr>
            <w:tcW w:type="dxa" w:w="17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2"/>
                <w:lang w:val="th-TH" w:eastAsia="th-TH" w:bidi="th-TH"/>
              </w:rPr>
              <w:t>Accuracy 0.83</w:t>
            </w:r>
          </w:p>
        </w:tc>
        <w:tc>
          <w:tcPr>
            <w:tcW w:type="dxa" w:w="17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2"/>
                <w:lang w:val="th-TH" w:eastAsia="th-TH" w:bidi="th-TH"/>
              </w:rPr>
              <w:t>ใช้พิกัดจุดสำคัญและแสดงผลเป็นข้อความไทย</w:t>
            </w:r>
          </w:p>
        </w:tc>
      </w:tr>
      <w:tr>
        <w:trPr>
          <w:cantSplit w:val="true"/>
        </w:trPr>
        <w:tc>
          <w:tcPr>
            <w:tcW w:type="dxa" w:w="20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2"/>
                <w:lang w:val="th-TH" w:eastAsia="th-TH" w:bidi="th-TH"/>
              </w:rPr>
              <w:t>Jintanachaiwat และคณะ (2024)</w:t>
              <w:br/>
              <w:t>DOI: 10.1007/s44163-024-00113-8</w:t>
            </w:r>
          </w:p>
        </w:tc>
        <w:tc>
          <w:tcPr>
            <w:tcW w:type="dxa" w:w="26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2"/>
                <w:lang w:val="th-TH" w:eastAsia="th-TH" w:bidi="th-TH"/>
              </w:rPr>
              <w:t>MediaPipe Holistic; 30 เฟรม; เปรียบเทียบ RNN และ LSTM</w:t>
            </w:r>
          </w:p>
        </w:tc>
        <w:tc>
          <w:tcPr>
            <w:tcW w:type="dxa" w:w="17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2"/>
                <w:lang w:val="th-TH" w:eastAsia="th-TH" w:bidi="th-TH"/>
              </w:rPr>
              <w:t>LSTM ชุดทดสอบ 100%; เวลาจริง 86%</w:t>
            </w:r>
          </w:p>
        </w:tc>
        <w:tc>
          <w:tcPr>
            <w:tcW w:type="dxa" w:w="17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2"/>
                <w:lang w:val="th-TH" w:eastAsia="th-TH" w:bidi="th-TH"/>
              </w:rPr>
              <w:t>แยกผลภายในออกจากเวลาจริงและระวังข้อมูลคนเดียว</w:t>
            </w:r>
          </w:p>
        </w:tc>
      </w:tr>
      <w:tr>
        <w:trPr>
          <w:cantSplit w:val="true"/>
        </w:trPr>
        <w:tc>
          <w:tcPr>
            <w:tcW w:type="dxa" w:w="20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2"/>
                <w:lang w:val="th-TH" w:eastAsia="th-TH" w:bidi="th-TH"/>
              </w:rPr>
              <w:t>Li และคณะ (2020)</w:t>
              <w:br/>
              <w:t>WACV 2020, หน้า 1459–1469</w:t>
            </w:r>
          </w:p>
        </w:tc>
        <w:tc>
          <w:tcPr>
            <w:tcW w:type="dxa" w:w="26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2"/>
                <w:lang w:val="th-TH" w:eastAsia="th-TH" w:bidi="th-TH"/>
              </w:rPr>
              <w:t>WLASL มากกว่า 2,000 คำ; มากกว่า 100 คน; appearance/pose/Pose-TGCN</w:t>
            </w:r>
          </w:p>
        </w:tc>
        <w:tc>
          <w:tcPr>
            <w:tcW w:type="dxa" w:w="17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2"/>
                <w:lang w:val="th-TH" w:eastAsia="th-TH" w:bidi="th-TH"/>
              </w:rPr>
              <w:t>แสดงความท้าทายเมื่อคำและผู้ทำท่าเพิ่ม</w:t>
            </w:r>
          </w:p>
        </w:tc>
        <w:tc>
          <w:tcPr>
            <w:tcW w:type="dxa" w:w="17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2"/>
                <w:lang w:val="th-TH" w:eastAsia="th-TH" w:bidi="th-TH"/>
              </w:rPr>
              <w:t>วางแผนขยายข้อมูลและเปรียบเทียบโมเดลลำดับ</w:t>
            </w:r>
          </w:p>
        </w:tc>
      </w:tr>
      <w:tr>
        <w:trPr>
          <w:cantSplit w:val="true"/>
        </w:trPr>
        <w:tc>
          <w:tcPr>
            <w:tcW w:type="dxa" w:w="20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2"/>
                <w:lang w:val="th-TH" w:eastAsia="th-TH" w:bidi="th-TH"/>
              </w:rPr>
              <w:t>Camgoz และคณะ (2018)</w:t>
              <w:br/>
              <w:t>DOI: 10.1109/CVPR.2018.00812</w:t>
            </w:r>
          </w:p>
        </w:tc>
        <w:tc>
          <w:tcPr>
            <w:tcW w:type="dxa" w:w="26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2"/>
                <w:lang w:val="th-TH" w:eastAsia="th-TH" w:bidi="th-TH"/>
              </w:rPr>
              <w:t>วิดีโอต่อเนื่อง มากกว่า 67,000 หน่วยท่า และ Neural Translation</w:t>
            </w:r>
          </w:p>
        </w:tc>
        <w:tc>
          <w:tcPr>
            <w:tcW w:type="dxa" w:w="17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2"/>
                <w:lang w:val="th-TH" w:eastAsia="th-TH" w:bidi="th-TH"/>
              </w:rPr>
              <w:t>แปลภาษามือโดยคำนึงถึงลำดับและไวยากรณ์</w:t>
            </w:r>
          </w:p>
        </w:tc>
        <w:tc>
          <w:tcPr>
            <w:tcW w:type="dxa" w:w="17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2"/>
                <w:lang w:val="th-TH" w:eastAsia="th-TH" w:bidi="th-TH"/>
              </w:rPr>
              <w:t>กำหนดขอบเขตปัจจุบันเป็นแยกคำและวางแนวทางอนาคต</w:t>
            </w:r>
          </w:p>
        </w:tc>
      </w:tr>
    </w:tbl>
    <w:p>
      <w:pPr>
        <w:pStyle w:val="Caption"/>
        <w:keepLines/>
        <w:spacing w:before="0" w:after="20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>ตารางที่ 2.2 การเปรียบเทียบงานวิจัยที่เกี่ยวข้องกับ HandVox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สรุปได้ว่าคุณภาพระบบขึ้นกับตัวจำแนก คุณภาพข้อมูล จำนวนผู้ทำท่า และวิธีแบ่งชุดทดสอบ HandVox จึงควรเพิ่มผู้ทำท่า สร้างชุดทดสอบภายนอก เพิ่มสถานะไม่ทราบ และเปรียบเทียบ SVM กับ LSTM ภายใต้ข้อมูลชุดเดียวกัน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2160" w:right="1440" w:bottom="1440" w:left="2160" w:header="709" w:footer="709" w:gutter="0"/>
      <w:cols w:space="720"/>
      <w:titlePg w:val="true"/>
      <w:docGrid w:linePitch="360"/>
      <w:pgNumType w:start="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right"/>
    </w:pPr>
    <w:r>
      <w:rPr>
        <w:rFonts w:ascii="TH Sarabun New" w:hAnsi="TH Sarabun New" w:eastAsia="TH Sarabun New" w:cs="TH Sarabun New"/>
        <w:b w:val="0"/>
        <w:i w:val="0"/>
        <w:color w:val="000000"/>
        <w:sz w:val="28"/>
        <w:lang w:val="th-TH" w:eastAsia="th-TH" w:bidi="th-TH"/>
      </w:rPr>
      <w:fldChar w:fldCharType="begin" w:dirty="true"/>
      <w:instrText xml:space="preserve"> PAGE </w:instrText>
      <w:fldChar w:fldCharType="separate"/>
      <w:t>1</w:t>
      <w:fldChar w:fldCharType="end"/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ind w:firstLine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40" w:line="276" w:lineRule="auto"/>
      <w:ind w:firstLine="709"/>
      <w:jc w:val="left"/>
    </w:pPr>
    <w:rPr>
      <w:rFonts w:ascii="TH Sarabun New" w:hAnsi="TH Sarabun New" w:eastAsia="TH Sarabun New" w:cs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60"/>
      <w:ind w:left="0" w:right="0" w:firstLine="0"/>
      <w:outlineLvl w:val="0"/>
    </w:pPr>
    <w:rPr>
      <w:rFonts w:asciiTheme="majorHAnsi" w:eastAsiaTheme="majorEastAsia" w:hAnsiTheme="majorHAnsi" w:cstheme="majorBidi" w:ascii="TH Sarabun New" w:hAnsi="TH Sarabun New" w:eastAsia="TH Sarabun New" w:cs="TH Sarabun New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ind w:left="709" w:right="0" w:firstLine="0"/>
      <w:outlineLvl w:val="1"/>
    </w:pPr>
    <w:rPr>
      <w:rFonts w:asciiTheme="majorHAnsi" w:eastAsiaTheme="majorEastAsia" w:hAnsiTheme="majorHAnsi" w:cstheme="majorBidi" w:ascii="TH Sarabun New" w:hAnsi="TH Sarabun New" w:eastAsia="TH Sarabun New" w:cs="TH Sarabun New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ind w:left="1417" w:right="0" w:firstLine="0"/>
      <w:outlineLvl w:val="2"/>
    </w:pPr>
    <w:rPr>
      <w:rFonts w:asciiTheme="majorHAnsi" w:eastAsiaTheme="majorEastAsia" w:hAnsiTheme="majorHAnsi" w:cstheme="majorBidi" w:ascii="TH Sarabun New" w:hAnsi="TH Sarabun New" w:eastAsia="TH Sarabun New" w:cs="TH Sarabun New"/>
      <w:b/>
      <w:bCs/>
      <w:color w:val="000000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40" w:lineRule="auto" w:before="60" w:after="120"/>
      <w:ind w:firstLine="0"/>
      <w:jc w:val="center"/>
    </w:pPr>
    <w:rPr>
      <w:rFonts w:ascii="TH Sarabun New" w:hAnsi="TH Sarabun New" w:eastAsia="TH Sarabun New"/>
      <w:b/>
      <w:bCs/>
      <w:i w:val="0"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