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Angsana New" w:hAnsi="Angsana New" w:eastAsia="Angsana New" w:cs="Angsana New"/>
          <w:b/>
          <w:i w:val="0"/>
          <w:color w:val="111111"/>
          <w:sz w:val="40"/>
        </w:rPr>
        <w:t>บทที่ 2</w:t>
      </w:r>
    </w:p>
    <w:p>
      <w:pPr>
        <w:keepNext/>
        <w:spacing w:after="240"/>
        <w:ind w:firstLine="0"/>
        <w:jc w:val="center"/>
      </w:pPr>
      <w:r>
        <w:rPr>
          <w:rFonts w:ascii="Angsana New" w:hAnsi="Angsana New" w:eastAsia="Angsana New" w:cs="Angsana New"/>
          <w:b/>
          <w:i w:val="0"/>
          <w:color w:val="111111"/>
          <w:sz w:val="40"/>
        </w:rPr>
        <w:t>ความรู้พื้นฐานและงานที่เกี่ยวข้อง</w:t>
      </w:r>
    </w:p>
    <w:p>
      <w:pPr>
        <w:keepLines w:val="0"/>
        <w:ind w:firstLine="0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บทนี้อธิบายแนวคิดที่จำเป็นต่อการพัฒนา HandVox ตั้งแต่ขอบเขตของการรู้จำภาษามือด้วยคอมพิวเตอร์ การตรวจหาจุดสำคัญด้วย MediaPipe Holistic การแทนลำดับการเคลื่อนไหว การจำแนกด้วย SVM ตลอดจนหลักการประเมินผลและข้อจำกัด เพื่อให้วิธีดำเนินการในบทที่ 3 มีฐานทางวิชาการที่ชัดเจน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2.1 ภาษามือ การรู้จำ และการแปล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ภาษามือเป็นภาษาธรรมชาติที่ใช้รูปมือ ตำแหน่ง ทิศทาง การเคลื่อนไหว การแสดงสีหน้า และโครงสร้างทางภาษา การทำให้คอมพิวเตอร์ระบุหน่วยท่าหรือคำจากวิดีโอเรียกว่า การรู้จำภาษามือ (Sign Language Recognition: SLR) ส่วนการแปลภาษามือ (Sign Language Translation: SLT) ต้องแปลงลำดับภาษามือให้เป็นประโยคของภาษาปลายทางโดยคำนึงถึงโครงสร้างและบริบท ดังนั้นระบบที่ส่งออกชื่อท่าจากคลิปสั้นจึงอยู่ในกลุ่มการรู้จำแบบแยกคำ ไม่ใช่ระบบแปลภาษามือต่อเนื่อง (Yu et al., 2022; Sarhan &amp; Frintrop, 2023)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การกำหนดคำเรียกให้ตรงกับความสามารถเป็นหลักสำคัญของงานวิจัย เพราะช่วยป้องกันการนำผลไปใช้เกินขอบเขต HandVox จึงจำแนกเฉพาะท่าที่ผู้พัฒนาหรือผู้ใช้เก็บไว้ในชุดข้อมูล และต้องให้ผู้ใช้กดเพิ่มคำลงในประโยค ไม่ได้แบ่งคำหรือวิเคราะห์ไวยากรณ์โดยอัตโนมัติ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2.2 การรู้จำแบบภาพนิ่ง แบบแยกคำ และแบบต่อเนื่อง</w:t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2.1 การเปรียบเทียบระดับของการรู้จำ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74"/>
        <w:gridCol w:w="1984"/>
        <w:gridCol w:w="1928"/>
        <w:gridCol w:w="2920"/>
      </w:tblGrid>
      <w:tr>
        <w:trPr>
          <w:tblHeader w:val="true"/>
        </w:trPr>
        <w:tc>
          <w:tcPr>
            <w:tcW w:type="dxa" w:w="147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รูปแบบ</w:t>
            </w:r>
          </w:p>
        </w:tc>
        <w:tc>
          <w:tcPr>
            <w:tcW w:type="dxa" w:w="1984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ข้อมูลนำเข้า</w:t>
            </w:r>
          </w:p>
        </w:tc>
        <w:tc>
          <w:tcPr>
            <w:tcW w:type="dxa" w:w="1928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ผลลัพธ์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ขอบเขต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ภาพนิ่ง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หนึ่งเฟรม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คลาสของรูปมือ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ไม่แทนลำดับการเคลื่อนไหว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แบบแยกคำ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คลิปของหนึ่งท่า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หนึ่งคำหรือหนึ่งป้ายกำกับ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เหมาะกับท่าที่มีจุดเริ่มและสิ้นสุดชัดเจน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แบบต่อเนื่อง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วิดีโอหลายท่าต่อกัน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ลำดับคำหรือประโยค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ต้องแบ่งหน่วยท่าและจัดการบริบท</w:t>
            </w:r>
          </w:p>
        </w:tc>
      </w:tr>
    </w:tbl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HandVox เลือกการรู้จำแบบแยกคำจากคลิป 30 เฟรม เพื่อให้ระบบรับรู้การเคลื่อนไหวของแขนและมือที่ไม่สามารถอธิบายด้วยภาพนิ่งเพียงเฟรมเดียว อย่างไรก็ดี ความยาว 30 เฟรมเป็นจำนวนตัวอย่างตามลำดับ ไม่ใช่ระยะเวลาแน่นอน เพราะระยะเวลาจริงขึ้นกับอัตราเฟรมของกล้องและภาระการประมวลผล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2.3 การมองเห็นด้วยคอมพิวเตอร์และจุดสำคัญ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การมองเห็นด้วยคอมพิวเตอร์เป็นกระบวนการรับภาพหรือวิดีโอและสกัดข้อมูลที่ใช้ตัดสินใจได้ OpenCV ทำหน้าที่เปิดกล้อง กลับภาพในแนวนอน วาดส่วนติดต่อ และแสดงผล ส่วน MediaPipe ทำหน้าที่ประมาณพิกัดจุดสำคัญ การใช้จุดสำคัญแทนภาพดิบช่วยลดมิติข้อมูลและทำให้ตีความได้ง่ายขึ้น แต่ยังขึ้นกับคุณภาพการตรวจหา การบังมือ แสง มุมกล้อง และความเร็วของการเคลื่อนไหว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งาน MediaPipe Hands เสนอการตรวจหาฝ่ามือร่วมกับแบบจำลองจุดสำคัญ 21 จุดต่อมือสำหรับการทำงานแบบเวลาจริงจากกล้อง RGB (Zhang et al., 2020) ส่วน MediaPipe Holistic รวมจุดท่าทางร่างกาย ใบหน้า และมือทั้งสองข้างไว้ในกระบวนการเดียว โดยคงความสอดคล้องของด้านซ้ายและขวาระหว่างเฟรม (Google AI Edge, n.d.)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2.4 MediaPipe Holistic ในโครงงาน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โครงงานตั้งค่า MediaPipe Holistic ให้ประมวลผลวิดีโอต่อเนื่อง (static_image_mode=False) ใช้ model_complexity=1 เปิด smooth_landmarks และกำหนด min_detection_confidence กับ min_tracking_confidence เท่ากับ 0.70 แม้ Holistic จะสามารถส่งออกจุดจำนวนมาก แต่ HandVox เลือกเฉพาะ 15 จุดของช่วงบนและจุดมือ 21 จุดต่อข้างเพื่อควบคุมขนาดข้อมูล</w:t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2.2 คุณลักษณะที่ HandVox เลือกใช้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515"/>
        <w:gridCol w:w="1247"/>
        <w:gridCol w:w="1361"/>
        <w:gridCol w:w="2183"/>
      </w:tblGrid>
      <w:tr>
        <w:trPr>
          <w:tblHeader w:val="true"/>
        </w:trPr>
        <w:tc>
          <w:tcPr>
            <w:tcW w:type="dxa" w:w="3515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กลุ่มจุด</w:t>
            </w:r>
          </w:p>
        </w:tc>
        <w:tc>
          <w:tcPr>
            <w:tcW w:type="dxa" w:w="1247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จำนวนจุด</w:t>
            </w:r>
          </w:p>
        </w:tc>
        <w:tc>
          <w:tcPr>
            <w:tcW w:type="dxa" w:w="1361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พิกัดต่อจุด</w:t>
            </w:r>
          </w:p>
        </w:tc>
        <w:tc>
          <w:tcPr>
            <w:tcW w:type="dxa" w:w="2183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จำนวนคุณลักษณะ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ช่วงบน: ศีรษะ ไหล่ ศอก ข้อมือ และสะโพก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15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x, y, z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45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มือซ้าย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21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x, y, z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63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มือขวา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21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x, y, z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63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รวมต่อเฟรม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57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3</w:t>
            </w:r>
          </w:p>
        </w:tc>
        <w:tc>
          <w:tcPr>
            <w:tcW w:type="dxa" w:w="21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171</w:t>
            </w:r>
          </w:p>
        </w:tc>
      </w:tr>
    </w:tbl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ระบบคืนค่า None เมื่อไม่พบโครงร่างท่าทางหรือไม่พบมือทั้งสองข้าง หากพบเพียงมือเดียว ระบบแทนคุณลักษณะของมือที่ไม่พบด้วยศูนย์จำนวน 63 ค่า วิธีนี้ทำให้ทุกเฟรมมีมิติเท่ากัน แต่ต้องระวังว่าศูนย์เป็นสัญลักษณ์ของข้อมูลที่หาย ไม่ใช่ตำแหน่งมือจริง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2.5 การปรับมาตรฐานเชิงตำแหน่งและขนาด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พิกัดจากภาพเปลี่ยนตามตำแหน่งผู้ใช้ ระยะห่าง และขนาดตัว HandVox จึงกำหนดจุดกึ่งกลางไหล่ซ้ายและขวาเป็นจุดอ้างอิง c และใช้ระยะยูคลิดระหว่างไหล่เป็นตัวปรับขนาด s สำหรับจุด p_i พิกัดที่ปรับแล้วคำนวณเป็น p′_i = (p_i − c) / max(s, 10⁻⁶) ทั้งแกน x, y และ z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การปรับดังกล่าวลดผลจากการเลื่อนตำแหน่งและการเปลี่ยนขนาดโดยรวม แต่ไม่ทำให้ข้อมูลไม่แปรผันต่อการหมุน มุมกล้อง หรือสัดส่วนร่างกายทั้งหมด จึงยังต้องเก็บข้อมูลจากระยะ มุม และความเร็วที่หลากหลาย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2.6 การแทนลำดับการเคลื่อนไหว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หนึ่งคลิปประกอบด้วย 30 เฟรมและแต่ละเฟรมมี 171 คุณลักษณะ จึงแทนได้เป็นเมทริกซ์ขนาด 30 × 171 ก่อนฝึก ระบบเรียงค่าทุกเฟรมต่อกันเป็นเวกเตอร์ 5,130 ค่า การเรียงตามลำดับเวลาเก็บข้อมูลการเคลื่อนไหวไว้ทางอ้อม เพราะตำแหน่งของคุณลักษณะในเวกเตอร์สัมพันธ์กับลำดับเฟรม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ข้อดีของวิธีนี้คือใช้งานร่วมกับตัวจำแนกแบบดั้งเดิมได้ง่ายและฝึกได้รวดเร็วเมื่อข้อมูลมีขนาดเล็ก ข้อจำกัดคือทุกคลิปต้องมีจำนวนเฟรมเท่ากัน และแบบจำลองอาจไวต่อความเร็วหรือจังหวะที่ต่างจากข้อมูลฝึกมาก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2.7 Support Vector Machine และ RBF Kernel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Support Vector Machine เป็นวิธีการเรียนรู้แบบมีผู้สอนที่สร้างขอบเขตการตัดสินใจโดยอาศัยตัวอย่างที่อยู่ใกล้ขอบเขตของคลาส แนวคิดดั้งเดิมเสนอการแปลงข้อมูลไปยังปริภูมิที่มีมิติสูงเพื่อสร้างขอบเขตที่แยกข้อมูลได้ดี (Cortes &amp; Vapnik, 1995) RBF kernel ช่วยสร้างขอบเขตไม่เชิงเส้นและเหมาะกับความสัมพันธ์ที่ซับซ้อนระหว่างตำแหน่งจุดหลายเฟรม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HandVox ใช้ SVC ของ scikit-learn โดยกำหนด kernel='rbf', C=10, gamma='scale' และ probability=True ค่า C ควบคุมการแลกเปลี่ยนระหว่างขอบเขตที่กว้างกับข้อผิดพลาดบนข้อมูลฝึก ส่วน gamma กำหนดอิทธิพลของตัวอย่างต่อรูปร่างขอบเขต การเปิด probability ทำให้ระบบรายงานค่าประกอบการตัดสินใจ แต่ค่าดังกล่าวไม่ควรถูกตีความเป็นการรับประกันความถูกต้องในโลกจริง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2.8 การแบ่งข้อมูลและการป้องกันการรั่วไหลของข้อมูล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การแบ่งชุดข้อมูลฝึกและทดสอบต้องทำก่อนประเมินผล โดยใช้ข้อมูลทดสอบเฉพาะสำหรับวัดความสามารถกับตัวอย่างที่โมเดลไม่ได้ใช้ฝึก HandVox ใช้การแบ่ง 80:20 แบบ stratified และ random_state=42 เพื่อรักษาสัดส่วนคลาสและทำซ้ำได้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อย่างไรก็ตาม คลิปที่เก็บต่อเนื่องจากผู้ทำท่าคนเดียว เซสชันเดียว และพื้นหลังเดียวอาจคล้ายกันมาก แม้จะอยู่คนละไฟล์คลิป หากสุ่มคลิประหว่างชุดฝึกและทดสอบ คะแนนอาจสะท้อนความสามารถในการจำลักษณะของเซสชันมากกว่าความสามารถกับผู้ใช้ใหม่ แนวทางที่เข้มงวดกว่าคือแบ่งตามผู้ให้ข้อมูลหรือรอบการเก็บ (grouped split) และมีชุดทดสอบภายนอกที่แยกจากกระบวนการพัฒนา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2.9 ตัวชี้วัดการจำแนก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Accuracy คือสัดส่วนตัวอย่างที่ทำนายถูกทั้งหมด แต่เมื่อจำนวนตัวอย่างหรือความยากของแต่ละคลาสต่างกัน ควรรายงาน precision, recall และ F1-score รายคลาส รวมถึงค่าเฉลี่ยแบบ macro ซึ่งให้น้ำหนักทุกคลาสเท่ากัน Confusion matrix ช่วยแสดงว่าท่าใดถูกสับสนกับท่าใด (Sokolova &amp; Lapalme, 2009)</w:t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2.3 ตัวชี้วัดที่ควรรายงาน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01"/>
        <w:gridCol w:w="3969"/>
        <w:gridCol w:w="2636"/>
      </w:tblGrid>
      <w:tr>
        <w:trPr>
          <w:tblHeader w:val="true"/>
        </w:trPr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ตัวชี้วัด</w:t>
            </w:r>
          </w:p>
        </w:tc>
        <w:tc>
          <w:tcPr>
            <w:tcW w:type="dxa" w:w="3969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ความหมาย</w:t>
            </w:r>
          </w:p>
        </w:tc>
        <w:tc>
          <w:tcPr>
            <w:tcW w:type="dxa" w:w="2636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8"/>
              </w:rPr>
              <w:t>การใช้ในโครงงาน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Accuracy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สัดส่วนการทำนายถูกทั้งหมด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ภาพรวมของชุดทดสอบ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Precision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เมื่อระบบทำนายเป็นคลาสหนึ่ง มีสัดส่วนถูกเท่าใด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ตรวจการทำนายเกิน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Recall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ตัวอย่างจริงของคลาสหนึ่งถูกพบเท่าใด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ตรวจการพลาดคลาส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F1-score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ค่าเฉลี่ยฮาร์มอนิกของ precision และ recall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เปรียบเทียบรายคลาส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Confusion matrix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จำนวนจริงและทำนายของทุกคู่คลาส</w:t>
            </w:r>
          </w:p>
        </w:tc>
        <w:tc>
          <w:tcPr>
            <w:tcW w:type="dxa" w:w="26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8"/>
              </w:rPr>
              <w:t>ค้นหาคู่ท่าที่สับสน</w:t>
            </w:r>
          </w:p>
        </w:tc>
      </w:tr>
    </w:tbl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2.10 การประมวลผลแบบเวลาจริงและเสียงพูด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ขณะใช้งาน ระบบเก็บคุณลักษณะล่าสุดในคิว 30 เฟรม เมื่อคิวเต็มจึงคำนวณความน่าจะเป็นของทุกคลาส รับเฉพาะผลที่มีค่าอย่างน้อย 0.40 และใช้ผลย้อนหลัง 3 ครั้งเพื่อเลือกคลาสที่พบมากที่สุด หากไม่พบมือเกิน 0.4 วินาที ระบบล้างคิวและสถานะ การประมวลผลนี้ช่วยลดการสั่นของหน้าจอ แต่ไม่ได้แทนการประเมินความถูกต้องของโมเดล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ผลลัพธ์สามารถเพิ่มเป็นประโยคด้วยแป้นพิมพ์และส่งให้ gTTS สร้างเสียงภาษาไทย โดย pygame เล่นไฟล์เสียงที่สร้างชั่วคราว TTS เป็นช่องทางนำเสนอผล ไม่ได้มีส่วนในการรู้จำท่าทาง และต้องใช้อินเทอร์เน็ตในขณะสร้างเสียงตามการติดตั้งปัจจุบัน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2.11 งานและแนวคิดที่เกี่ยวข้อง</w:t>
      </w:r>
    </w:p>
    <w:p>
      <w:pPr>
        <w:pStyle w:val="Caption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ตารางที่ 2.4 งานและแนวคิดที่เกี่ยวข้อง</w:t>
      </w:r>
    </w:p>
    <w:tbl>
      <w:tblPr>
        <w:tblStyle w:val="TableGrid"/>
        <w:tblW w:type="dxa" w:w="8306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268"/>
        <w:gridCol w:w="3118"/>
        <w:gridCol w:w="2920"/>
      </w:tblGrid>
      <w:tr>
        <w:trPr>
          <w:tblHeader w:val="true"/>
        </w:trP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แหล่งอ้างอิง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ประเด็นสำคัญ</w:t>
            </w:r>
          </w:p>
        </w:tc>
        <w:tc>
          <w:tcPr>
            <w:tcW w:type="dxa" w:w="2920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/>
                <w:i w:val="0"/>
                <w:color w:val="1F4E79"/>
                <w:sz w:val="26"/>
              </w:rPr>
              <w:t>ความสัมพันธ์กับ HandVox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Cortes &amp; Vapnik (1995)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หลักการ Support Vector Networks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ฐานของตัวจำแนก SVM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Zhang et al. (2020)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การติดตามโครงร่างมือ 21 จุดแบบเวลาจริง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ฐานของคุณลักษณะมือ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Yu et al. (2022)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ทบทวนงานรู้จำระดับท่าทาง คำแยก และประโยคต่อเนื่อง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ใช้กำหนดขอบเขตการกล่าวอ้าง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Sarhan &amp; Frintrop (2023)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สำรวจการรู้จำภาษามือแบบแยกคำและชุดข้อมูล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ใช้วิเคราะห์ข้อจำกัดด้านผู้ทำท่าและข้อมูล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Chalotonpised et al. (2026)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ชุดข้อมูลภาษามือไทยระดับคำจากหลายผู้ทำท่า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ใช้เปรียบเทียบขนาดข้อมูลและการทดสอบแบบ signer-independent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Google AI Edge (n.d.)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MediaPipe Holistic สำหรับจุดร่างกาย ใบหน้า และมือ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Angsana New" w:hAnsi="Angsana New" w:eastAsia="Angsana New" w:cs="Angsana New"/>
                <w:b w:val="0"/>
                <w:i w:val="0"/>
                <w:color w:val="111111"/>
                <w:sz w:val="26"/>
              </w:rPr>
              <w:t>กระบวนการตรวจหาจุดของระบบ</w:t>
            </w:r>
          </w:p>
        </w:tc>
      </w:tr>
    </w:tbl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งาน TSL-ONE-S รายงานชุดข้อมูลภาษามือไทยระดับคำ 4,152 วิดีโอ ครอบคลุม 184 คำ จากผู้ทำท่า 29 คน และประเมินแบบแยกผู้ทำท่า (signer-independent) (Chalotonpised et al., 2026) งานดังกล่าวชี้ให้เห็นความสำคัญของความหลากหลายด้านบุคคลและสภาพแวดล้อม ดังนั้นชุดข้อมูล 90 คลิปจาก 3 ท่าของ HandVox ควรถูกอธิบายว่าเป็นชุดข้อมูลต้นแบบภายในโครงงาน ไม่ใช่หลักฐานความสามารถทั่วไปของระบบ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2.12 ความน่าเชื่อถือ จริยธรรม และการเข้าถึง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ข้อมูลท่าทางอาจเกี่ยวข้องกับอัตลักษณ์ การเคลื่อนไหว และสภาพแวดล้อมของผู้ให้ข้อมูล การเก็บข้อมูลจากบุคคลจึงควรแจ้งวัตถุประสงค์ ขอความยินยอม จำกัดการใช้ และเก็บเฉพาะข้อมูลที่จำเป็น โครงงานปัจจุบันจัดเก็บจุดสำคัญและป้ายกำกับในไฟล์ NPZ ไม่ได้บันทึกวิดีโอต้นฉบับเป็นชุดข้อมูล แต่ภาพจากกล้องยังถูกประมวลผลในหน่วยความจำระหว่างเก็บและใช้งาน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ระบบควรรายงานข้อจำกัดอย่างชัดเจน ไม่อ้างว่าสามารถแทนล่ามหรือรองรับภาษามือไทยทั้งหมด และควรประเมินกับผู้ใช้หลายคนก่อนใช้งานจริง การออกแบบส่วนติดต่อควรแสดงผลที่อ่านง่าย มีทางเลือกข้อความเมื่อเสียงใช้ไม่ได้ และให้ผู้ใช้แก้ไขหรือลบคำที่ระบบทำนายผิด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2.13 บทสรุป</w:t>
      </w:r>
    </w:p>
    <w:p>
      <w:pPr>
        <w:keepLines w:val="0"/>
        <w:ind w:firstLine="709"/>
      </w:pPr>
      <w:r>
        <w:rPr>
          <w:rFonts w:ascii="Angsana New" w:hAnsi="Angsana New" w:eastAsia="Angsana New" w:cs="Angsana New"/>
          <w:b w:val="0"/>
          <w:i w:val="0"/>
          <w:color w:val="111111"/>
          <w:sz w:val="32"/>
        </w:rPr>
        <w:t>HandVox เป็นระบบรู้จำท่าทางภาษามือแบบแยกคำจากลำดับ 30 เฟรม โดยใช้ MediaPipe Holistic สกัด 171 คุณลักษณะต่อเฟรม ปรับมาตรฐานด้วยตำแหน่งและระยะไหล่ เรียงเป็นเวกเตอร์ 5,130 ค่า และจำแนกด้วย SVM แบบ RBF แนวทางนี้เหมาะกับต้นแบบข้อมูลขนาดเล็กและตรวจสอบกระบวนการได้ง่าย แต่ยังต้องควบคุมการรั่วไหลของข้อมูล ทดสอบกับผู้ทำท่าและสภาพแวดล้อมใหม่ และจำกัดการกล่าวอ้างให้ตรงกับการรู้จำแบบแยกคำ</w:t>
      </w:r>
    </w:p>
    <w:p>
      <w:pPr>
        <w:pStyle w:val="Heading1"/>
      </w:pPr>
      <w:r>
        <w:rPr>
          <w:rFonts w:ascii="Angsana New" w:hAnsi="Angsana New" w:eastAsia="Angsana New" w:cs="Angsana New"/>
          <w:b/>
          <w:i w:val="0"/>
          <w:color w:val="1F4E79"/>
          <w:sz w:val="36"/>
        </w:rPr>
        <w:t>รายการอ้างอิงของบท</w:t>
      </w:r>
    </w:p>
    <w:p>
      <w:pPr>
        <w:spacing w:after="60" w:line="240" w:lineRule="auto"/>
        <w:ind w:left="709" w:hanging="709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Bradski, G. (2000). The OpenCV Library. Dr. Dobb’s Journal of Software Tools.</w:t>
      </w:r>
    </w:p>
    <w:p>
      <w:pPr>
        <w:spacing w:after="60" w:line="240" w:lineRule="auto"/>
        <w:ind w:left="709" w:hanging="709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Cortes, C., &amp; Vapnik, V. (1995). Support-vector networks. Machine Learning, 20, 273–297. https://doi.org/10.1007/BF00994018</w:t>
      </w:r>
    </w:p>
    <w:p>
      <w:pPr>
        <w:spacing w:after="60" w:line="240" w:lineRule="auto"/>
        <w:ind w:left="709" w:hanging="709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Chalotonpised, J., Chen, W. H., Vijitkunsawat, W., &amp; Lin, Y. C. (2026). TSL-ONE-S: A real-world Thai sign language dataset with deep learning benchmarks. IEEE Access, 14, 37845–37870. https://doi.org/10.1109/ACCESS.2026.3670970</w:t>
      </w:r>
    </w:p>
    <w:p>
      <w:pPr>
        <w:spacing w:after="60" w:line="240" w:lineRule="auto"/>
        <w:ind w:left="709" w:hanging="709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Google AI Edge. (n.d.). Holistic landmarks detection task guide. Retrieved August 1, 2026, from https://developers.google.com/edge/mediapipe/solutions/vision/holistic_landmarker</w:t>
      </w:r>
    </w:p>
    <w:p>
      <w:pPr>
        <w:spacing w:after="60" w:line="240" w:lineRule="auto"/>
        <w:ind w:left="709" w:hanging="709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Pedregosa, F., Varoquaux, G., Gramfort, A., Michel, V., Thirion, B., Grisel, O., Blondel, M., Prettenhofer, P., Weiss, R., Dubourg, V., Vanderplas, J., Passos, A., Cournapeau, D., Brucher, M., Perrot, M., &amp; Duchesnay, E. (2011). Scikit-learn: Machine learning in Python. Journal of Machine Learning Research, 12(85), 2825–2830.</w:t>
      </w:r>
    </w:p>
    <w:p>
      <w:pPr>
        <w:spacing w:after="60" w:line="240" w:lineRule="auto"/>
        <w:ind w:left="709" w:hanging="709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Sarhan, N., &amp; Frintrop, S. (2023). Unraveling a decade: A comprehensive survey on isolated sign language recognition. Proceedings of the IEEE/CVF International Conference on Computer Vision Workshops, 3210–3219. https://openaccess.thecvf.com/content/ICCV2023W/AMFG/html/Sarhan_Unraveling_a_Decade_A_Comprehensive_Survey_on_Isolated_Sign_Language_ICCVW_2023_paper.html</w:t>
      </w:r>
    </w:p>
    <w:p>
      <w:pPr>
        <w:spacing w:after="60" w:line="240" w:lineRule="auto"/>
        <w:ind w:left="709" w:hanging="709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Sokolova, M., &amp; Lapalme, G. (2009). A systematic analysis of performance measures for classification tasks. Information Processing &amp; Management, 45(4), 427–437. https://doi.org/10.1016/j.ipm.2009.03.002</w:t>
      </w:r>
    </w:p>
    <w:p>
      <w:pPr>
        <w:spacing w:after="60" w:line="240" w:lineRule="auto"/>
        <w:ind w:left="709" w:hanging="709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Yu, M., Jia, J., Xue, C., Yan, G., Guo, Y., &amp; Liu, Y. (2022). A review of sign language recognition research. Journal of Intelligent &amp; Fuzzy Systems, 43(4), 3879–3898. https://doi.org/10.3233/JIFS-210050</w:t>
      </w:r>
    </w:p>
    <w:p>
      <w:pPr>
        <w:spacing w:after="60" w:line="240" w:lineRule="auto"/>
        <w:ind w:left="709" w:hanging="709"/>
      </w:pPr>
      <w:r>
        <w:rPr>
          <w:rFonts w:ascii="Angsana New" w:hAnsi="Angsana New" w:eastAsia="Angsana New" w:cs="Angsana New"/>
          <w:b w:val="0"/>
          <w:i w:val="0"/>
          <w:color w:val="111111"/>
          <w:sz w:val="28"/>
        </w:rPr>
        <w:t>Zhang, F., Bazarevsky, V., Vakunov, A., Tkachenka, A., Sung, G., Chang, C.-L., &amp; Grundmann, M. (2020). MediaPipe Hands: On-device real-time hand tracking. arXiv:2006.10214. https://doi.org/10.48550/arXiv.2006.10214</w:t>
      </w:r>
    </w:p>
    <w:sectPr w:rsidR="00FC693F" w:rsidRPr="0006063C" w:rsidSect="00034616">
      <w:footerReference w:type="default" r:id="rId9"/>
      <w:pgSz w:w="11906" w:h="16838"/>
      <w:pgMar w:top="2160" w:right="1440" w:bottom="1440" w:left="216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ngsana New" w:hAnsi="Angsana New" w:eastAsia="Angsana New" w:cs="Angsana New"/>
        <w:b w:val="0"/>
        <w:i w:val="0"/>
        <w:color w:val="111111"/>
        <w:sz w:val="2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76" w:lineRule="auto"/>
      <w:ind w:firstLine="709"/>
      <w:jc w:val="both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firstLine="0"/>
      <w:outlineLvl w:val="0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firstLine="0"/>
      <w:outlineLvl w:val="1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1111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ngsana New" w:hAnsi="Angsana New" w:eastAsia="Angsana New" w:cs="Angsana New"/>
      <w:b/>
      <w:bCs/>
      <w:color w:val="11111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20"/>
      <w:ind w:firstLine="0"/>
      <w:jc w:val="center"/>
    </w:pPr>
    <w:rPr>
      <w:rFonts w:ascii="Angsana New" w:hAnsi="Angsana New" w:eastAsia="Angsana New"/>
      <w:b/>
      <w:bCs/>
      <w:i w:val="0"/>
      <w:color w:val="11111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