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before="0" w:after="120" w:line="520" w:lineRule="exact"/>
        <w:ind w:left="0" w:right="0" w:firstLine="0"/>
        <w:jc w:val="center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40"/>
          <w:lang w:val="th-TH" w:eastAsia="th-TH" w:bidi="th-TH"/>
          <w:szCs w:val="40"/>
          <w:bCs w:val="1"/>
          <w:spacing w:val="0"/>
          <w:w w:val="100"/>
        </w:rPr>
        <w:t>เอกสารอ้างอิงประกอบบทที่ 5</w:t>
      </w:r>
    </w:p>
    <w:p>
      <w:pPr>
        <w:keepNext w:val="0"/>
        <w:keepLines w:val="0"/>
        <w:pageBreakBefore w:val="0"/>
        <w:widowControl/>
        <w:spacing w:before="0" w:after="80"/>
        <w:ind w:left="0" w:right="0" w:firstLine="425"/>
        <w:jc w:val="thaiDistribute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โครงงาน HandVox ระบบรู้จำภาษามือไทยเป็นข้อความและเสียงพูด</w:t>
      </w:r>
    </w:p>
    <w:p>
      <w:pPr>
        <w:keepNext w:val="0"/>
        <w:keepLines w:val="0"/>
        <w:pageBreakBefore w:val="0"/>
        <w:widowControl/>
        <w:spacing w:before="0" w:after="80"/>
        <w:ind w:left="0" w:right="0" w:firstLine="425"/>
        <w:jc w:val="thaiDistribute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รายการแหล่งข้อมูลประกอบบทที่ 5 สำหรับนำไปรวมในเอกสารอ้างอิงท้ายเล่ม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คณะผู้พัฒนา HandVox. (2569). ซอร์สโค้ดแอปพลิเคชัน ระบบรู้จำ การจัดการข้อความ และการสังเคราะห์เสียงพูด [ซอร์สโค้ดภายในโครงงาน].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handvox/​ui.py;​ handvox/​detector_​view.py;​ handvox/​training_​workflow.py;​ run_​detector.py;​ tts_​service.py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คณะผู้พัฒนา HandVox. (2569). ประวัติข้อความและภาพส่วนติดต่อผู้ใช้ของแอปพลิเคชัน HandVox [ข้อมูลและภาพประกอบภายในโครงงาน].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conversation_​history.json;​ ชุดรูปประกอบเอกสาร_​01_​02_​03/​03_​รูปโปรแกรม;​ ผลลัพธ์เอกสาร/​บทที่ 4.docx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คณะผู้พัฒนา HandVox. (2569, 15 กันยายน). รายงานผลการฝึกและประเมินแบบจำลอง TCN และสถานะแบบจำลองที่ติดตั้ง [รายงานผลการทดลองภายในโครงงาน].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experiments/​20260915_​061512_​537476/​report.md;​ metrics.json;​ confusion_​matrix.csv;​ model_​manifest.json ของแบบจำลองที่ติดตั้ง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คณะผู้พัฒนา HandVox. (2569). บันทึกความเร็วการทำงานของหน้าจอรู้จำภาษามือ [ข้อมูลการทำงานภายในโครงงาน]. ตรวจสอบเมื่อ 27 กันยายน 2569.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detector_​performance_​latest.json;​ สรุป 120 เฟรมล่าสุด จากทั้งหมด 627 เฟรม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คณะผู้พัฒนา HandVox. (2569). ผลการตรวจสอบส่วนข้อความ ประวัติ และการควบคุมการรับคำ [ชุดทดสอบและรายงานภายในโครงงาน]. ผล 26 กรณีตามที่รายงานในบทที่ 4 เมื่อ 27 กันยายน 2569.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tests/​test_​gesture_​state.py;​ test_​camera_​sentence.py;​ test_​sentence.py;​ test_​history.py;​ test_​detector_​actions.py;​ test_​detector_​performance.py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คณะผู้พัฒนา HandVox. (2569, 23 กันยายน). ผลการประเมินผู้ทำท่าคนใหม่ person_03 สำหรับแบบจำลองรุ่น 20260915_061512_537476 [รายงานผลเบื้องต้นภายในโครงงาน].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experiments/​20260915_​061512_​537476/​external_​evaluations/​20260923_​013726_​285774_​91def9df/​report.md;​ metrics.json;​ ประเมิน 306 คลิป รวมคลิปรอตรวจคุณภาพ 228 คลิป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Bai, S., Kolter, J. Z., &amp; Koltun, V. (2018). An Empirical Evaluation of Generic Convolutional and Recurrent Networks for Sequence Modeling. arXiv:1803.01271.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https:/​/​doi.org/​10.48550/​arXiv.1803.01271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2160" w:right="1440" w:bottom="1440" w:left="2160" w:header="850" w:footer="70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H Sarabun New" w:hAnsi="TH Sarabun New" w:eastAsia="TH Sarabun New" w:cs="TH Sarabun New"/>
        <w:b w:val="0"/>
        <w:color w:val="000000"/>
        <w:sz w:val="32"/>
        <w:lang w:val="th-TH" w:eastAsia="th-TH" w:bidi="th-TH"/>
        <w:szCs w:val="32"/>
        <w:bCs w:val="0"/>
        <w:spacing w:val="0"/>
        <w:w w:val="100"/>
      </w:rPr>
    </w:r>
    <w:fldSimple w:instr=" PAGE ">
      <w:r>
        <w:rPr>
          <w:rFonts w:ascii="TH Sarabun New" w:hAnsi="TH Sarabun New" w:cs="TH Sarabun New" w:eastAsia="TH Sarabun New"/>
          <w:sz w:val="32"/>
          <w:szCs w:val="32"/>
        </w:rPr>
        <w:t>2</w:t>
      </w:r>
    </w:fldSimple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 New" w:hAnsi="TH Sarabun New" w:eastAsia="TH Sarabun New" w:cs="TH Sarabun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before="0" w:after="80" w:line="380" w:lineRule="exact"/>
      <w:ind w:left="0" w:firstLine="0"/>
    </w:pPr>
    <w:rPr>
      <w:rFonts w:ascii="TH Sarabun New" w:hAnsi="TH Sarabun New" w:cs="TH Sarabun New" w:eastAsia="TH Sarabun New"/>
      <w:b w:val="0"/>
      <w:i w:val="0"/>
      <w:color w:val="000000"/>
      <w:sz w:val="32"/>
      <w:szCs w:val="32"/>
      <w:lang w:val="th-TH" w:bidi="th-TH" w:eastAsia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 w:val="0"/>
      <w:widowControl/>
      <w:spacing w:before="0" w:after="80" w:line="380" w:lineRule="exact"/>
      <w:ind w:left="0" w:firstLine="0"/>
      <w:outlineLvl w:val="0"/>
    </w:pPr>
    <w:rPr>
      <w:rFonts w:ascii="TH Sarabun New" w:hAnsi="TH Sarabun New" w:cs="TH Sarabun New" w:eastAsia="TH Sarabun New"/>
      <w:b/>
      <w:bCs/>
      <w:i w:val="0"/>
      <w:color w:val="000000"/>
      <w:sz w:val="32"/>
      <w:szCs w:val="32"/>
      <w:lang w:val="th-TH" w:bidi="th-TH" w:eastAsia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 w:val="0"/>
      <w:widowControl/>
      <w:spacing w:before="0" w:after="80" w:line="380" w:lineRule="exact"/>
      <w:ind w:left="0" w:firstLine="0"/>
      <w:outlineLvl w:val="1"/>
    </w:pPr>
    <w:rPr>
      <w:rFonts w:ascii="TH Sarabun New" w:hAnsi="TH Sarabun New" w:cs="TH Sarabun New" w:eastAsia="TH Sarabun New"/>
      <w:b/>
      <w:bCs/>
      <w:i w:val="0"/>
      <w:color w:val="000000"/>
      <w:sz w:val="32"/>
      <w:szCs w:val="32"/>
      <w:lang w:val="th-TH" w:bidi="th-TH" w:eastAsia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 w:val="0"/>
      <w:widowControl/>
      <w:spacing w:before="0" w:after="80" w:line="380" w:lineRule="exact"/>
      <w:ind w:left="0" w:firstLine="0"/>
      <w:outlineLvl w:val="2"/>
    </w:pPr>
    <w:rPr>
      <w:rFonts w:ascii="TH Sarabun New" w:hAnsi="TH Sarabun New" w:cs="TH Sarabun New" w:eastAsia="TH Sarabun New"/>
      <w:b/>
      <w:bCs/>
      <w:i w:val="0"/>
      <w:color w:val="000000"/>
      <w:sz w:val="32"/>
      <w:szCs w:val="32"/>
      <w:lang w:val="th-TH" w:bidi="th-TH" w:eastAsia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 w:val="0"/>
      <w:widowControl/>
      <w:spacing w:after="80" w:line="380" w:lineRule="exact" w:before="0"/>
      <w:ind w:left="0" w:firstLine="0"/>
      <w:contextualSpacing/>
    </w:pPr>
    <w:rPr>
      <w:rFonts w:ascii="TH Sarabun New" w:hAnsi="TH Sarabun New" w:cs="TH Sarabun New" w:eastAsia="TH Sarabun New"/>
      <w:b/>
      <w:i w:val="0"/>
      <w:color w:val="000000"/>
      <w:spacing w:val="5"/>
      <w:kern w:val="28"/>
      <w:sz w:val="32"/>
      <w:szCs w:val="32"/>
      <w:lang w:val="th-TH" w:bidi="th-TH" w:eastAsia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เอกสารอ้างอิงประกอบบทที่ 5 โครงงาน HandVox</dc:title>
  <dc:subject/>
  <dc:creator>คณะผู้จัดทำโครงงาน HandVox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