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0"/>
        <w:ind w:firstLine="0"/>
        <w:jc w:val="center"/>
      </w:pPr>
      <w:r>
        <w:rPr>
          <w:rFonts w:ascii="TH Sarabun New" w:hAnsi="TH Sarabun New" w:eastAsia="TH Sarabun New" w:cs="TH Sarabun New"/>
          <w:b/>
          <w:i w:val="0"/>
          <w:color w:val="000000"/>
          <w:sz w:val="40"/>
          <w:lang w:val="th-TH" w:eastAsia="th-TH" w:bidi="th-TH"/>
        </w:rPr>
        <w:t>บทที่ 2</w:t>
      </w:r>
    </w:p>
    <w:p>
      <w:pPr>
        <w:keepNext/>
        <w:spacing w:after="240"/>
        <w:ind w:firstLine="0"/>
        <w:jc w:val="center"/>
      </w:pPr>
      <w:r>
        <w:rPr>
          <w:rFonts w:ascii="TH Sarabun New" w:hAnsi="TH Sarabun New" w:eastAsia="TH Sarabun New" w:cs="TH Sarabun New"/>
          <w:b/>
          <w:i w:val="0"/>
          <w:color w:val="000000"/>
          <w:sz w:val="40"/>
          <w:lang w:val="th-TH" w:eastAsia="th-TH" w:bidi="th-TH"/>
        </w:rPr>
        <w:t>ความรู้พื้นฐานและงานที่เกี่ยวข้อง</w:t>
      </w:r>
    </w:p>
    <w:p>
      <w:pPr>
        <w:keepLines w:val="0"/>
        <w:spacing w:before="400" w:after="12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บทนี้อธิบายแนวคิดที่จำเป็นต่อการพัฒนา HandVox ตั้งแต่ขอบเขตของการรู้จำภาษามือด้วยคอมพิวเตอร์ การตรวจหาจุดสำคัญ การแทนลำดับการเคลื่อนไหว การจำแนก และหลักการประเมินผล โดยมีหัวข้อดังนี้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2.1 ภาษามือ การรู้จำ และการแปล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2.2 การรู้จำแบบภาพนิ่ง แบบแยกคำ และแบบต่อเนื่อง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2.3 การมองเห็นด้วยคอมพิวเตอร์และจุดสำคัญ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2.4 MediaPipe Holistic ในโครงงาน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2.5 การปรับมาตรฐานเชิงตำแหน่งและขนาด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2.6 การแทนลำดับการเคลื่อนไหว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2.7 Support Vector Machine และ RBF Kernel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2.8 การแบ่งข้อมูลและการป้องกันการรั่วไหลของข้อมูล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2.9 ตัวชี้วัดการจำแนก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2.10 การประมวลผลแบบเวลาจริงและเสียงพูด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2.11 งานและแนวคิดที่เกี่ยวข้อง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2.12 ความน่าเชื่อถือ จริยธรรม และการเข้าถึง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2.13 บทสรุป</w:t>
      </w:r>
    </w:p>
    <w:p>
      <w:r>
        <w:br w:type="page"/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2.1 ภาษามือ การรู้จำ และการแปล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ภาษามือเป็นภาษาธรรมชาติที่ใช้รูปมือ ตำแหน่ง ทิศทาง การเคลื่อนไหว การแสดงสีหน้า และโครงสร้างทางภาษา การทำให้คอมพิวเตอร์ระบุหน่วยท่าหรือคำจากวิดีโอเรียกว่า การรู้จำภาษามือ (Sign Language Recognition: SLR) ส่วนการแปลภาษามือ (Sign Language Translation: SLT) ต้องแปลงลำดับภาษามือให้เป็นประโยคของภาษาปลายทางโดยคำนึงถึงโครงสร้างและบริบท ดังนั้นระบบที่ส่งออกชื่อท่าจากคลิปสั้นจึงอยู่ในกลุ่มการรู้จำแบบแยกคำ ไม่ใช่ระบบแปลภาษามือต่อเนื่อง (Yu et al., 2022; Sarhan &amp; Frintrop, 2023)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การกำหนดคำเรียกให้ตรงกับความสามารถเป็นหลักสำคัญของงานวิจัย เพราะช่วยป้องกันการนำผลไปใช้เกินขอบเขต HandVox จึงจำแนกเฉพาะท่าที่ผู้พัฒนาหรือผู้ใช้เก็บไว้ในชุดข้อมูล และต้องให้ผู้ใช้กดเพิ่มคำลงในประโยค ไม่ได้แบ่งคำหรือวิเคราะห์ไวยากรณ์โดยอัตโนมัติ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2.2 การรู้จำแบบภาพนิ่ง แบบแยกคำ และแบบต่อเนื่อง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1474"/>
        <w:gridCol w:w="1984"/>
        <w:gridCol w:w="1928"/>
        <w:gridCol w:w="2920"/>
      </w:tblGrid>
      <w:tr>
        <w:trPr>
          <w:tblHeader w:val="true"/>
          <w:cantSplit w:val="true"/>
        </w:trPr>
        <w:tc>
          <w:tcPr>
            <w:tcW w:type="dxa" w:w="1474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รูปแบบ</w:t>
            </w:r>
          </w:p>
        </w:tc>
        <w:tc>
          <w:tcPr>
            <w:tcW w:type="dxa" w:w="1984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ข้อมูลนำเข้า</w:t>
            </w:r>
          </w:p>
        </w:tc>
        <w:tc>
          <w:tcPr>
            <w:tcW w:type="dxa" w:w="1928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ผลลัพธ์</w:t>
            </w:r>
          </w:p>
        </w:tc>
        <w:tc>
          <w:tcPr>
            <w:tcW w:type="dxa" w:w="2920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ขอบเขต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ภาพนิ่ง</w:t>
            </w:r>
          </w:p>
        </w:tc>
        <w:tc>
          <w:tcPr>
            <w:tcW w:type="dxa" w:w="19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หนึ่งเฟรม</w:t>
            </w:r>
          </w:p>
        </w:tc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คลาสของรูปมือ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ไม่แทนลำดับการเคลื่อนไหว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แบบแยกคำ</w:t>
            </w:r>
          </w:p>
        </w:tc>
        <w:tc>
          <w:tcPr>
            <w:tcW w:type="dxa" w:w="19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คลิปของหนึ่งท่า</w:t>
            </w:r>
          </w:p>
        </w:tc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หนึ่งคำหรือหนึ่งป้ายกำกับ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เหมาะกับท่าที่มีจุดเริ่มและสิ้นสุดชัดเจน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แบบต่อเนื่อง</w:t>
            </w:r>
          </w:p>
        </w:tc>
        <w:tc>
          <w:tcPr>
            <w:tcW w:type="dxa" w:w="19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วิดีโอหลายท่าต่อกัน</w:t>
            </w:r>
          </w:p>
        </w:tc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ลำดับคำหรือประโยค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ต้องแบ่งหน่วยท่าและจัดการบริบท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2.1 การเปรียบเทียบระดับของการรู้จำ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HandVox เลือกการรู้จำแบบแยกคำจากคลิป 30 เฟรม เพื่อให้ระบบรับรู้การเคลื่อนไหวของแขนและมือที่ไม่สามารถอธิบายด้วยภาพนิ่งเพียงเฟรมเดียว อย่างไรก็ดี ความยาว 30 เฟรมเป็นจำนวนตัวอย่างตามลำดับ ไม่ใช่ระยะเวลาแน่นอน เพราะระยะเวลาจริงขึ้นกับอัตราเฟรมของกล้องและภาระการประมวลผล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2.3 การมองเห็นด้วยคอมพิวเตอร์และจุดสำคัญ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การมองเห็นด้วยคอมพิวเตอร์เป็นกระบวนการรับภาพหรือวิดีโอและสกัดข้อมูลที่ใช้ตัดสินใจได้ OpenCV ทำหน้าที่เปิดกล้อง กลับภาพในแนวนอน วาดส่วนติดต่อ และแสดงผล ส่วน MediaPipe ทำหน้าที่ประมาณพิกัดจุดสำคัญ การใช้จุดสำคัญแทนภาพดิบช่วยลดมิติข้อมูลและทำให้ตีความได้ง่ายขึ้น แต่ยังขึ้นกับคุณภาพการตรวจหา การบังมือ แสง มุมกล้อง และความเร็วของการเคลื่อนไหว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งาน MediaPipe Hands เสนอการตรวจหาฝ่ามือร่วมกับแบบจำลองจุดสำคัญ 21 จุดต่อมือสำหรับการทำงานแบบเวลาจริงจากกล้อง RGB (Zhang et al., 2020) ส่วน MediaPipe Holistic รวมจุดท่าทางร่างกาย ใบหน้า และมือทั้งสองข้างไว้ในกระบวนการเดียว โดยคงความสอดคล้องของด้านซ้ายและขวาระหว่างเฟรม (Google AI Edge, n.d.)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2.4 MediaPipe Holistic ในโครงงาน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โครงงานตั้งค่า MediaPipe Holistic ให้ประมวลผลวิดีโอต่อเนื่อง (static_image_mode=False) ใช้ model_complexity=1 เปิด smooth_landmarks และกำหนด min_detection_confidence กับ min_tracking_confidence เท่ากับ 0.70 แม้ Holistic จะสามารถส่งออกจุดจำนวนมาก แต่ HandVox เลือกเฉพาะ 15 จุดของช่วงบนและจุดมือ 21 จุดต่อข้างเพื่อควบคุมขนาดข้อมูล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3515"/>
        <w:gridCol w:w="1247"/>
        <w:gridCol w:w="1361"/>
        <w:gridCol w:w="2183"/>
      </w:tblGrid>
      <w:tr>
        <w:trPr>
          <w:tblHeader w:val="true"/>
          <w:cantSplit w:val="true"/>
        </w:trPr>
        <w:tc>
          <w:tcPr>
            <w:tcW w:type="dxa" w:w="3515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กลุ่มจุด</w:t>
            </w:r>
          </w:p>
        </w:tc>
        <w:tc>
          <w:tcPr>
            <w:tcW w:type="dxa" w:w="1247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จำนวนจุด</w:t>
            </w:r>
          </w:p>
        </w:tc>
        <w:tc>
          <w:tcPr>
            <w:tcW w:type="dxa" w:w="1361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พิกัดต่อจุด</w:t>
            </w:r>
          </w:p>
        </w:tc>
        <w:tc>
          <w:tcPr>
            <w:tcW w:type="dxa" w:w="2183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จำนวนคุณลักษณะ</w:t>
            </w:r>
          </w:p>
        </w:tc>
      </w:tr>
      <w:tr>
        <w:trPr>
          <w:cantSplit w:val="true"/>
        </w:trPr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ช่วงบน: ศีรษะ ไหล่ ศอก ข้อมือ และสะโพก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15</w:t>
            </w:r>
          </w:p>
        </w:tc>
        <w:tc>
          <w:tcPr>
            <w:tcW w:type="dxa" w:w="136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x, y, z</w:t>
            </w:r>
          </w:p>
        </w:tc>
        <w:tc>
          <w:tcPr>
            <w:tcW w:type="dxa" w:w="218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45</w:t>
            </w:r>
          </w:p>
        </w:tc>
      </w:tr>
      <w:tr>
        <w:trPr>
          <w:cantSplit w:val="true"/>
        </w:trPr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มือซ้าย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21</w:t>
            </w:r>
          </w:p>
        </w:tc>
        <w:tc>
          <w:tcPr>
            <w:tcW w:type="dxa" w:w="136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x, y, z</w:t>
            </w:r>
          </w:p>
        </w:tc>
        <w:tc>
          <w:tcPr>
            <w:tcW w:type="dxa" w:w="218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63</w:t>
            </w:r>
          </w:p>
        </w:tc>
      </w:tr>
      <w:tr>
        <w:trPr>
          <w:cantSplit w:val="true"/>
        </w:trPr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มือขวา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21</w:t>
            </w:r>
          </w:p>
        </w:tc>
        <w:tc>
          <w:tcPr>
            <w:tcW w:type="dxa" w:w="136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x, y, z</w:t>
            </w:r>
          </w:p>
        </w:tc>
        <w:tc>
          <w:tcPr>
            <w:tcW w:type="dxa" w:w="218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63</w:t>
            </w:r>
          </w:p>
        </w:tc>
      </w:tr>
      <w:tr>
        <w:trPr>
          <w:cantSplit w:val="true"/>
        </w:trPr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รวมต่อเฟรม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57</w:t>
            </w:r>
          </w:p>
        </w:tc>
        <w:tc>
          <w:tcPr>
            <w:tcW w:type="dxa" w:w="136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3</w:t>
            </w:r>
          </w:p>
        </w:tc>
        <w:tc>
          <w:tcPr>
            <w:tcW w:type="dxa" w:w="218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171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2.2 คุณลักษณะที่ HandVox เลือกใช้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ระบบคืนค่า None เมื่อไม่พบโครงร่างท่าทางหรือไม่พบมือทั้งสองข้าง หากพบเพียงมือเดียว ระบบแทนคุณลักษณะของมือที่ไม่พบด้วยศูนย์จำนวน 63 ค่า วิธีนี้ทำให้ทุกเฟรมมีมิติเท่ากัน แต่ต้องระวังว่าศูนย์เป็นสัญลักษณ์ของข้อมูลที่หาย ไม่ใช่ตำแหน่งมือจริง</w:t>
      </w:r>
    </w:p>
    <w:p>
      <w:pPr>
        <w:keepNext/>
        <w:keepLines/>
        <w:spacing w:before="120" w:after="60"/>
        <w:ind w:firstLine="0"/>
        <w:jc w:val="center"/>
        <w:shd w:fill="F7F7F7"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br/>
        <w:br/>
        <w:br/>
      </w:r>
      <w:r>
        <w:rPr>
          <w:rFonts w:ascii="TH Sarabun New" w:hAnsi="TH Sarabun New" w:eastAsia="TH Sarabun New" w:cs="TH Sarabun New"/>
          <w:b/>
          <w:i w:val="0"/>
          <w:color w:val="000000"/>
          <w:sz w:val="30"/>
          <w:lang w:val="th-TH" w:eastAsia="th-TH" w:bidi="th-TH"/>
        </w:rPr>
        <w:t>[เว้นพื้นที่สำหรับภาพประกอบ]</w:t>
        <w:br/>
      </w:r>
      <w:r>
        <w:rPr>
          <w:rFonts w:ascii="TH Sarabun New" w:hAnsi="TH Sarabun New" w:eastAsia="TH Sarabun New" w:cs="TH Sarabun New"/>
          <w:b w:val="0"/>
          <w:i/>
          <w:color w:val="000000"/>
          <w:sz w:val="28"/>
          <w:lang w:val="th-TH" w:eastAsia="th-TH" w:bidi="th-TH"/>
        </w:rPr>
        <w:t>ภาพที่ต้องการ: แผนภาพบุคคลช่วงบนที่ทำเครื่องหมายจุด pose 15 จุด และจุดมือซ้าย–ขวาข้างละ 21 จุด พร้อมแยกสีของแต่ละกลุ่ม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br/>
        <w:br/>
        <w:br/>
      </w:r>
    </w:p>
    <w:p>
      <w:pPr>
        <w:pStyle w:val="Caption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ภาพที่ 2.1 จุดสำคัญที่ HandVox เลือกใช้จาก MediaPipe Holistic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2.5 การปรับมาตรฐานเชิงตำแหน่งและขนาด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พิกัดจากภาพเปลี่ยนตามตำแหน่งผู้ใช้ ระยะห่าง และขนาดตัว HandVox จึงกำหนดจุดกึ่งกลางไหล่ซ้ายและขวาเป็นจุดอ้างอิง c และใช้ระยะยูคลิดระหว่างไหล่เป็นตัวปรับขนาด s สำหรับจุด p_i พิกัดที่ปรับแล้วคำนวณเป็น p′_i = (p_i − c) / max(s, 10⁻⁶) ทั้งแกน x, y และ z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การปรับดังกล่าวลดผลจากการเลื่อนตำแหน่งและการเปลี่ยนขนาดโดยรวม แต่ไม่ทำให้ข้อมูลไม่แปรผันต่อการหมุน มุมกล้อง หรือสัดส่วนร่างกายทั้งหมด จึงยังต้องเก็บข้อมูลจากระยะ มุม และความเร็วที่หลากหลาย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2.6 การแทนลำดับการเคลื่อนไหว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หนึ่งคลิปประกอบด้วย 30 เฟรมและแต่ละเฟรมมี 171 คุณลักษณะ จึงแทนได้เป็นเมทริกซ์ขนาด 30 × 171 ก่อนฝึก ระบบเรียงค่าทุกเฟรมต่อกันเป็นเวกเตอร์ 5,130 ค่า การเรียงตามลำดับเวลาเก็บข้อมูลการเคลื่อนไหวไว้ทางอ้อม เพราะตำแหน่งของคุณลักษณะในเวกเตอร์สัมพันธ์กับลำดับเฟรม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ข้อดีของวิธีนี้คือใช้งานร่วมกับตัวจำแนกแบบดั้งเดิมได้ง่ายและฝึกได้รวดเร็วเมื่อข้อมูลมีขนาดเล็ก ข้อจำกัดคือทุกคลิปต้องมีจำนวนเฟรมเท่ากัน และแบบจำลองอาจไวต่อความเร็วหรือจังหวะที่ต่างจากข้อมูลฝึกมาก</w:t>
      </w:r>
    </w:p>
    <w:p>
      <w:pPr>
        <w:keepNext/>
        <w:keepLines/>
        <w:spacing w:before="120" w:after="60"/>
        <w:ind w:firstLine="0"/>
        <w:jc w:val="center"/>
        <w:shd w:fill="F7F7F7"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br/>
        <w:br/>
      </w:r>
      <w:r>
        <w:rPr>
          <w:rFonts w:ascii="TH Sarabun New" w:hAnsi="TH Sarabun New" w:eastAsia="TH Sarabun New" w:cs="TH Sarabun New"/>
          <w:b/>
          <w:i w:val="0"/>
          <w:color w:val="000000"/>
          <w:sz w:val="30"/>
          <w:lang w:val="th-TH" w:eastAsia="th-TH" w:bidi="th-TH"/>
        </w:rPr>
        <w:t>[เว้นพื้นที่สำหรับภาพประกอบ]</w:t>
        <w:br/>
      </w:r>
      <w:r>
        <w:rPr>
          <w:rFonts w:ascii="TH Sarabun New" w:hAnsi="TH Sarabun New" w:eastAsia="TH Sarabun New" w:cs="TH Sarabun New"/>
          <w:b w:val="0"/>
          <w:i/>
          <w:color w:val="000000"/>
          <w:sz w:val="28"/>
          <w:lang w:val="th-TH" w:eastAsia="th-TH" w:bidi="th-TH"/>
        </w:rPr>
        <w:t>ภาพที่ต้องการ: แผนภาพเรียงภาพตัวอย่างท่าเดียวตั้งแต่เฟรมที่ 1 ถึงเฟรมที่ 30 พร้อมลูกศรแสดงลำดับเวลา และระบุ 171 คุณลักษณะต่อเฟรม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br/>
        <w:br/>
      </w:r>
    </w:p>
    <w:p>
      <w:pPr>
        <w:pStyle w:val="Caption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ภาพที่ 2.2 การแทนคลิปหนึ่งท่าเป็นลำดับ 30 เฟรม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2.7 Support Vector Machine และ RBF Kernel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Support Vector Machine เป็นวิธีการเรียนรู้แบบมีผู้สอนที่สร้างขอบเขตการตัดสินใจโดยอาศัยตัวอย่างที่อยู่ใกล้ขอบเขตของคลาส แนวคิดดั้งเดิมเสนอการแปลงข้อมูลไปยังปริภูมิที่มีมิติสูงเพื่อสร้างขอบเขตที่แยกข้อมูลได้ดี (Cortes &amp; Vapnik, 1995) RBF kernel ช่วยสร้างขอบเขตไม่เชิงเส้นและเหมาะกับความสัมพันธ์ที่ซับซ้อนระหว่างตำแหน่งจุดหลายเฟรม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HandVox ใช้ SVC ของ scikit-learn โดยกำหนด kernel='rbf', C=10, gamma='scale' และ probability=True ค่า C ควบคุมการแลกเปลี่ยนระหว่างขอบเขตที่กว้างกับข้อผิดพลาดบนข้อมูลฝึก ส่วน gamma กำหนดอิทธิพลของตัวอย่างต่อรูปร่างขอบเขต การเปิด probability ทำให้ระบบรายงานค่าประกอบการตัดสินใจ แต่ค่าดังกล่าวไม่ควรถูกตีความเป็นการรับประกันความถูกต้องในโลกจริง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2.8 การแบ่งข้อมูลและการป้องกันการรั่วไหลของข้อมูล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การแบ่งชุดข้อมูลฝึกและทดสอบต้องทำก่อนประเมินผล โดยใช้ข้อมูลทดสอบเฉพาะสำหรับวัดความสามารถกับตัวอย่างที่โมเดลไม่ได้ใช้ฝึก HandVox ใช้การแบ่ง 80:20 แบบ stratified และ random_state=42 เพื่อรักษาสัดส่วนคลาสและทำซ้ำได้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อย่างไรก็ตาม คลิปที่เก็บต่อเนื่องจากผู้ทำท่าคนเดียว เซสชันเดียว และพื้นหลังเดียวอาจคล้ายกันมาก แม้จะอยู่คนละไฟล์คลิป หากสุ่มคลิประหว่างชุดฝึกและทดสอบ คะแนนอาจสะท้อนความสามารถในการจำลักษณะของเซสชันมากกว่าความสามารถกับผู้ใช้ใหม่ แนวทางที่เข้มงวดกว่าคือแบ่งตามผู้ให้ข้อมูลหรือรอบการเก็บ (grouped split) และมีชุดทดสอบภายนอกที่แยกจากกระบวนการพัฒนา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2.9 ตัวชี้วัดการจำแนก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Accuracy คือสัดส่วนตัวอย่างที่ทำนายถูกทั้งหมด แต่เมื่อจำนวนตัวอย่างหรือความยากของแต่ละคลาสต่างกัน ควรรายงาน precision, recall และ F1-score รายคลาส รวมถึงค่าเฉลี่ยแบบ macro ซึ่งให้น้ำหนักทุกคลาสเท่ากัน Confusion matrix ช่วยแสดงว่าท่าใดถูกสับสนกับท่าใด (Sokolova &amp; Lapalme, 2009)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1701"/>
        <w:gridCol w:w="3969"/>
        <w:gridCol w:w="2636"/>
      </w:tblGrid>
      <w:tr>
        <w:trPr>
          <w:tblHeader w:val="true"/>
          <w:cantSplit w:val="true"/>
        </w:trPr>
        <w:tc>
          <w:tcPr>
            <w:tcW w:type="dxa" w:w="1701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ตัวชี้วัด</w:t>
            </w:r>
          </w:p>
        </w:tc>
        <w:tc>
          <w:tcPr>
            <w:tcW w:type="dxa" w:w="3969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ความหมาย</w:t>
            </w:r>
          </w:p>
        </w:tc>
        <w:tc>
          <w:tcPr>
            <w:tcW w:type="dxa" w:w="2636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การใช้ในโครงงาน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Accuracy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สัดส่วนการทำนายถูกทั้งหมด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ภาพรวมของชุดทดสอบ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Precision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เมื่อระบบทำนายเป็นคลาสหนึ่ง มีสัดส่วนถูกเท่าใด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ตรวจการทำนายเกิน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Recall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ตัวอย่างจริงของคลาสหนึ่งถูกพบเท่าใด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ตรวจการพลาดคลาส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F1-score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ค่าเฉลี่ยฮาร์มอนิกของ precision และ recall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เปรียบเทียบรายคลาส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Confusion matrix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จำนวนจริงและทำนายของทุกคู่คลาส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ค้นหาคู่ท่าที่สับสน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2.3 ตัวชี้วัดที่ควรรายงาน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2.10 การประมวลผลแบบเวลาจริงและเสียงพูด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ขณะใช้งาน ระบบเก็บคุณลักษณะล่าสุดในคิว 30 เฟรม เมื่อคิวเต็มจึงคำนวณความน่าจะเป็นของทุกคลาส รับเฉพาะผลที่มีค่าอย่างน้อย 0.40 และใช้ผลย้อนหลัง 3 ครั้งเพื่อเลือกคลาสที่พบมากที่สุด หากไม่พบมือเกิน 0.4 วินาที ระบบล้างคิวและสถานะ การประมวลผลนี้ช่วยลดการสั่นของหน้าจอ แต่ไม่ได้แทนการประเมินความถูกต้องของโมเดล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ผลลัพธ์สามารถเพิ่มเป็นประโยคด้วยแป้นพิมพ์และส่งให้ gTTS สร้างเสียงภาษาไทย โดย pygame เล่นไฟล์เสียงที่สร้างชั่วคราว TTS เป็นช่องทางนำเสนอผล ไม่ได้มีส่วนในการรู้จำท่าทาง และต้องใช้อินเทอร์เน็ตในขณะสร้างเสียงตามการติดตั้งปัจจุบัน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2.11 งานและแนวคิดที่เกี่ยวข้อง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268"/>
        <w:gridCol w:w="3118"/>
        <w:gridCol w:w="2920"/>
      </w:tblGrid>
      <w:tr>
        <w:trPr>
          <w:tblHeader w:val="true"/>
          <w:cantSplit w:val="true"/>
        </w:trPr>
        <w:tc>
          <w:tcPr>
            <w:tcW w:type="dxa" w:w="2268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แหล่งอ้างอิง</w:t>
            </w:r>
          </w:p>
        </w:tc>
        <w:tc>
          <w:tcPr>
            <w:tcW w:type="dxa" w:w="3118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ประเด็นสำคัญ</w:t>
            </w:r>
          </w:p>
        </w:tc>
        <w:tc>
          <w:tcPr>
            <w:tcW w:type="dxa" w:w="2920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ความสัมพันธ์กับ HandVox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Cortes &amp; Vapnik (1995)</w:t>
            </w:r>
          </w:p>
        </w:tc>
        <w:tc>
          <w:tcPr>
            <w:tcW w:type="dxa" w:w="311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หลักการ Support Vector Networks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ฐานของตัวจำแนก SVM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Zhang et al. (2020)</w:t>
            </w:r>
          </w:p>
        </w:tc>
        <w:tc>
          <w:tcPr>
            <w:tcW w:type="dxa" w:w="311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การติดตามโครงร่างมือ 21 จุดแบบเวลาจริง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ฐานของคุณลักษณะมือ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Yu et al. (2022)</w:t>
            </w:r>
          </w:p>
        </w:tc>
        <w:tc>
          <w:tcPr>
            <w:tcW w:type="dxa" w:w="311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ทบทวนงานรู้จำระดับท่าทาง คำแยก และประโยคต่อเนื่อง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ใช้กำหนดขอบเขตการกล่าวอ้าง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Sarhan &amp; Frintrop (2023)</w:t>
            </w:r>
          </w:p>
        </w:tc>
        <w:tc>
          <w:tcPr>
            <w:tcW w:type="dxa" w:w="311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สำรวจการรู้จำภาษามือแบบแยกคำและชุดข้อมูล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ใช้วิเคราะห์ข้อจำกัดด้านผู้ทำท่าและข้อมูล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Chalotonpised et al. (2026)</w:t>
            </w:r>
          </w:p>
        </w:tc>
        <w:tc>
          <w:tcPr>
            <w:tcW w:type="dxa" w:w="311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ชุดข้อมูลภาษามือไทยระดับคำจากหลายผู้ทำท่า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ใช้เปรียบเทียบขนาดข้อมูลและการทดสอบแบบ signer-independent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Google AI Edge (n.d.)</w:t>
            </w:r>
          </w:p>
        </w:tc>
        <w:tc>
          <w:tcPr>
            <w:tcW w:type="dxa" w:w="311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MediaPipe Holistic สำหรับจุดร่างกาย ใบหน้า และมือ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กระบวนการตรวจหาจุดของระบบ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2.4 งานและแนวคิดที่เกี่ยวข้อง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งาน TSL-ONE-S รายงานชุดข้อมูลภาษามือไทยระดับคำ 4,152 วิดีโอ ครอบคลุม 184 คำ จากผู้ทำท่า 29 คน และประเมินแบบแยกผู้ทำท่า (signer-independent) (Chalotonpised et al., 2026) งานดังกล่าวชี้ให้เห็นความสำคัญของความหลากหลายด้านบุคคลและสภาพแวดล้อม ดังนั้นชุดข้อมูล 120 คลิปจาก 4 ท่าของ HandVox ควรถูกอธิบายว่าเป็นชุดข้อมูลต้นแบบภายในโครงงาน ไม่ใช่หลักฐานความสามารถทั่วไปของระบบ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2.12 ความน่าเชื่อถือ จริยธรรม และการเข้าถึง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ข้อมูลท่าทางอาจเกี่ยวข้องกับอัตลักษณ์ การเคลื่อนไหว และสภาพแวดล้อมของผู้ให้ข้อมูล การเก็บข้อมูลจากบุคคลจึงควรแจ้งวัตถุประสงค์ ขอความยินยอม จำกัดการใช้ และเก็บเฉพาะข้อมูลที่จำเป็น โครงงานปัจจุบันจัดเก็บจุดสำคัญและป้ายกำกับในไฟล์ NPZ ไม่ได้บันทึกวิดีโอต้นฉบับเป็นชุดข้อมูล แต่ภาพจากกล้องยังถูกประมวลผลในหน่วยความจำระหว่างเก็บและใช้งาน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ระบบควรรายงานข้อจำกัดอย่างชัดเจน ไม่อ้างว่าสามารถแทนล่ามหรือรองรับภาษามือไทยทั้งหมด และควรประเมินกับผู้ใช้หลายคนก่อนใช้งานจริง การออกแบบส่วนติดต่อควรแสดงผลที่อ่านง่าย มีทางเลือกข้อความเมื่อเสียงใช้ไม่ได้ และให้ผู้ใช้แก้ไขหรือลบคำที่ระบบทำนายผิด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2.13 บทสรุป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HandVox เป็นระบบรู้จำท่าทางภาษามือแบบแยกคำจากลำดับ 30 เฟรม โดยใช้ MediaPipe Holistic สกัด 171 คุณลักษณะต่อเฟรม ปรับมาตรฐานด้วยตำแหน่งและระยะไหล่ เรียงเป็นเวกเตอร์ 5,130 ค่า และจำแนกด้วย SVM แบบ RBF แนวทางนี้เหมาะกับต้นแบบข้อมูลขนาดเล็กและตรวจสอบกระบวนการได้ง่าย แต่ยังต้องควบคุมการรั่วไหลของข้อมูล ทดสอบกับผู้ทำท่าและสภาพแวดล้อมใหม่ และจำกัดการกล่าวอ้างให้ตรงกับการรู้จำแบบแยกคำ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รายการอ้างอิงของบท</w:t>
      </w:r>
    </w:p>
    <w:p>
      <w:pPr>
        <w:spacing w:after="60" w:line="240" w:lineRule="auto"/>
        <w:ind w:left="709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Bradski, G. (2000). The OpenCV Library. Dr. Dobb’s Journal of Software Tools.</w:t>
      </w:r>
    </w:p>
    <w:p>
      <w:pPr>
        <w:spacing w:after="60" w:line="240" w:lineRule="auto"/>
        <w:ind w:left="709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Cortes, C., &amp; Vapnik, V. (1995). Support-vector networks. Machine Learning, 20, 273–297. https://doi.org/10.1007/BF00994018</w:t>
      </w:r>
    </w:p>
    <w:p>
      <w:pPr>
        <w:spacing w:after="60" w:line="240" w:lineRule="auto"/>
        <w:ind w:left="709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Chalotonpised, J., Chen, W. H., Vijitkunsawat, W., &amp; Lin, Y. C. (2026). TSL-ONE-S: A real-world Thai sign language dataset with deep learning benchmarks. IEEE Access, 14, 37845–37870. https://doi.org/10.1109/ACCESS.2026.3670970</w:t>
      </w:r>
    </w:p>
    <w:p>
      <w:pPr>
        <w:spacing w:after="60" w:line="240" w:lineRule="auto"/>
        <w:ind w:left="709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Google AI Edge. (n.d.). Holistic landmarks detection task guide. Retrieved August 1, 2026, from https://developers.google.com/edge/mediapipe/solutions/vision/holistic_landmarker</w:t>
      </w:r>
    </w:p>
    <w:p>
      <w:pPr>
        <w:spacing w:after="60" w:line="240" w:lineRule="auto"/>
        <w:ind w:left="709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Pedregosa, F., Varoquaux, G., Gramfort, A., Michel, V., Thirion, B., Grisel, O., Blondel, M., Prettenhofer, P., Weiss, R., Dubourg, V., Vanderplas, J., Passos, A., Cournapeau, D., Brucher, M., Perrot, M., &amp; Duchesnay, E. (2011). Scikit-learn: Machine learning in Python. Journal of Machine Learning Research, 12(85), 2825–2830.</w:t>
      </w:r>
    </w:p>
    <w:p>
      <w:pPr>
        <w:spacing w:after="60" w:line="240" w:lineRule="auto"/>
        <w:ind w:left="709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Sarhan, N., &amp; Frintrop, S. (2023). Unraveling a decade: A comprehensive survey on isolated sign language recognition. Proceedings of the IEEE/CVF International Conference on Computer Vision Workshops, 3210–3219. https://openaccess.thecvf.com/content/ICCV2023W/AMFG/html/Sarhan_Unraveling_a_Decade_A_Comprehensive_Survey_on_Isolated_Sign_Language_ICCVW_2023_paper.html</w:t>
      </w:r>
    </w:p>
    <w:p>
      <w:pPr>
        <w:spacing w:after="60" w:line="240" w:lineRule="auto"/>
        <w:ind w:left="709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Sokolova, M., &amp; Lapalme, G. (2009). A systematic analysis of performance measures for classification tasks. Information Processing &amp; Management, 45(4), 427–437. https://doi.org/10.1016/j.ipm.2009.03.002</w:t>
      </w:r>
    </w:p>
    <w:p>
      <w:pPr>
        <w:spacing w:after="60" w:line="240" w:lineRule="auto"/>
        <w:ind w:left="709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Yu, M., Jia, J., Xue, C., Yan, G., Guo, Y., &amp; Liu, Y. (2022). A review of sign language recognition research. Journal of Intelligent &amp; Fuzzy Systems, 43(4), 3879–3898. https://doi.org/10.3233/JIFS-210050</w:t>
      </w:r>
    </w:p>
    <w:p>
      <w:pPr>
        <w:spacing w:after="60" w:line="240" w:lineRule="auto"/>
        <w:ind w:left="709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Zhang, F., Bazarevsky, V., Vakunov, A., Tkachenka, A., Sung, G., Chang, C.-L., &amp; Grundmann, M. (2020). MediaPipe Hands: On-device real-time hand tracking. arXiv:2006.10214. https://doi.org/10.48550/arXiv.2006.10214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2160" w:right="1440" w:bottom="1440" w:left="2160" w:header="709" w:footer="709" w:gutter="0"/>
      <w:cols w:space="720"/>
      <w:titlePg/>
      <w:docGrid w:linePitch="360"/>
      <w:pgNumType w:start="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color w:val="000000"/>
        <w:sz w:val="28"/>
        <w:lang w:val="th-TH" w:eastAsia="th-TH" w:bidi="th-TH"/>
      </w:rPr>
      <w:fldChar w:fldCharType="begin"/>
      <w:instrText xml:space="preserve"> PAGE </w:instrText>
      <w:fldChar w:fldCharType="separate"/>
      <w:t>1</w: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40" w:line="276" w:lineRule="auto"/>
      <w:ind w:firstLine="709"/>
      <w:jc w:val="left"/>
    </w:pPr>
    <w:rPr>
      <w:rFonts w:ascii="TH Sarabun New" w:hAnsi="TH Sarabun New" w:eastAsia="TH Sarabun New" w:cs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ind w:left="0" w:right="0" w:firstLine="0"/>
      <w:outlineLvl w:val="0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ind w:left="709" w:right="0" w:firstLine="0"/>
      <w:outlineLvl w:val="1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ind w:left="1417" w:right="0" w:firstLine="0"/>
      <w:outlineLvl w:val="2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60" w:after="120"/>
      <w:ind w:firstLine="0"/>
      <w:jc w:val="center"/>
    </w:pPr>
    <w:rPr>
      <w:rFonts w:ascii="TH Sarabun New" w:hAnsi="TH Sarabun New" w:eastAsia="TH Sarabun New"/>
      <w:b/>
      <w:bCs/>
      <w:i w:val="0"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