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0"/>
        <w:ind w:firstLine="0"/>
        <w:jc w:val="center"/>
      </w:pPr>
      <w:r>
        <w:rPr>
          <w:rFonts w:ascii="Angsana New" w:hAnsi="Angsana New" w:eastAsia="Angsana New" w:cs="Angsana New"/>
          <w:b/>
          <w:i w:val="0"/>
          <w:color w:val="111111"/>
          <w:sz w:val="40"/>
        </w:rPr>
        <w:t>บทที่ 2</w:t>
      </w:r>
    </w:p>
    <w:p>
      <w:pPr>
        <w:keepNext/>
        <w:spacing w:after="240"/>
        <w:ind w:firstLine="0"/>
        <w:jc w:val="center"/>
      </w:pPr>
      <w:r>
        <w:rPr>
          <w:rFonts w:ascii="Angsana New" w:hAnsi="Angsana New" w:eastAsia="Angsana New" w:cs="Angsana New"/>
          <w:b/>
          <w:i w:val="0"/>
          <w:color w:val="111111"/>
          <w:sz w:val="40"/>
        </w:rPr>
        <w:t>ความรู้พื้นฐานและงานที่เกี่ยวข้อง</w:t>
      </w:r>
    </w:p>
    <w:p>
      <w:pPr>
        <w:keepLines w:val="0"/>
        <w:spacing w:before="400" w:after="120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บทนี้อธิบายแนวคิดที่จำเป็นต่อการพัฒนา HandVox ตั้งแต่ขอบเขตของการรู้จำภาษามือด้วยคอมพิวเตอร์ การตรวจหาจุดสำคัญ การแทนลำดับการเคลื่อนไหว การจำแนก และหลักการประเมินผล โดยมีหัวข้อดังนี้</w:t>
      </w:r>
    </w:p>
    <w:p>
      <w:pPr>
        <w:keepLines/>
        <w:spacing w:before="0" w:after="0" w:line="240" w:lineRule="auto"/>
        <w:ind w:left="1134" w:hanging="425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2.1 ภาษามือ การรู้จำ และการแปล</w:t>
      </w:r>
    </w:p>
    <w:p>
      <w:pPr>
        <w:keepLines/>
        <w:spacing w:before="0" w:after="0" w:line="240" w:lineRule="auto"/>
        <w:ind w:left="1134" w:hanging="425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2.2 การรู้จำแบบภาพนิ่ง แบบแยกคำ และแบบต่อเนื่อง</w:t>
      </w:r>
    </w:p>
    <w:p>
      <w:pPr>
        <w:keepLines/>
        <w:spacing w:before="0" w:after="0" w:line="240" w:lineRule="auto"/>
        <w:ind w:left="1134" w:hanging="425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2.3 การมองเห็นด้วยคอมพิวเตอร์และจุดสำคัญ</w:t>
      </w:r>
    </w:p>
    <w:p>
      <w:pPr>
        <w:keepLines/>
        <w:spacing w:before="0" w:after="0" w:line="240" w:lineRule="auto"/>
        <w:ind w:left="1134" w:hanging="425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2.4 MediaPipe Holistic ในโครงงาน</w:t>
      </w:r>
    </w:p>
    <w:p>
      <w:pPr>
        <w:keepLines/>
        <w:spacing w:before="0" w:after="0" w:line="240" w:lineRule="auto"/>
        <w:ind w:left="1134" w:hanging="425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2.5 การปรับมาตรฐานเชิงตำแหน่งและขนาด</w:t>
      </w:r>
    </w:p>
    <w:p>
      <w:pPr>
        <w:keepLines/>
        <w:spacing w:before="0" w:after="0" w:line="240" w:lineRule="auto"/>
        <w:ind w:left="1134" w:hanging="425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2.6 การแทนลำดับการเคลื่อนไหว</w:t>
      </w:r>
    </w:p>
    <w:p>
      <w:pPr>
        <w:keepLines/>
        <w:spacing w:before="0" w:after="0" w:line="240" w:lineRule="auto"/>
        <w:ind w:left="1134" w:hanging="425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2.7 Support Vector Machine และ RBF Kernel</w:t>
      </w:r>
    </w:p>
    <w:p>
      <w:pPr>
        <w:keepLines/>
        <w:spacing w:before="0" w:after="0" w:line="240" w:lineRule="auto"/>
        <w:ind w:left="1134" w:hanging="425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2.8 การแบ่งข้อมูลและการป้องกันการรั่วไหลของข้อมูล</w:t>
      </w:r>
    </w:p>
    <w:p>
      <w:pPr>
        <w:keepLines/>
        <w:spacing w:before="0" w:after="0" w:line="240" w:lineRule="auto"/>
        <w:ind w:left="1134" w:hanging="425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2.9 ตัวชี้วัดการจำแนก</w:t>
      </w:r>
    </w:p>
    <w:p>
      <w:pPr>
        <w:keepLines/>
        <w:spacing w:before="0" w:after="0" w:line="240" w:lineRule="auto"/>
        <w:ind w:left="1134" w:hanging="425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2.10 การประมวลผลแบบเวลาจริงและเสียงพูด</w:t>
      </w:r>
    </w:p>
    <w:p>
      <w:pPr>
        <w:keepLines/>
        <w:spacing w:before="0" w:after="0" w:line="240" w:lineRule="auto"/>
        <w:ind w:left="1134" w:hanging="425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2.11 งานและแนวคิดที่เกี่ยวข้อง</w:t>
      </w:r>
    </w:p>
    <w:p>
      <w:pPr>
        <w:keepLines/>
        <w:spacing w:before="0" w:after="0" w:line="240" w:lineRule="auto"/>
        <w:ind w:left="1134" w:hanging="425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2.12 ความน่าเชื่อถือ จริยธรรม และการเข้าถึง</w:t>
      </w:r>
    </w:p>
    <w:p>
      <w:pPr>
        <w:keepLines/>
        <w:spacing w:before="0" w:after="0" w:line="240" w:lineRule="auto"/>
        <w:ind w:left="1134" w:hanging="425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2.13 บทสรุป</w:t>
      </w:r>
    </w:p>
    <w:p>
      <w:r>
        <w:br w:type="page"/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2.1 ภาษามือ การรู้จำ และการแปล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ภาษามือเป็นภาษาธรรมชาติที่ใช้รูปมือ ตำแหน่ง ทิศทาง การเคลื่อนไหว การแสดงสีหน้า และโครงสร้างทางภาษา การทำให้คอมพิวเตอร์ระบุหน่วยท่าหรือคำจากวิดีโอเรียกว่า การรู้จำภาษามือ (Sign Language Recognition: SLR) ส่วนการแปลภาษามือ (Sign Language Translation: SLT) ต้องแปลงลำดับภาษามือให้เป็นประโยคของภาษาปลายทางโดยคำนึงถึงโครงสร้างและบริบท ดังนั้นระบบที่ส่งออกชื่อท่าจากคลิปสั้นจึงอยู่ในกลุ่มการรู้จำแบบแยกคำ ไม่ใช่ระบบแปลภาษามือต่อเนื่อง (Yu et al., 2022; Sarhan &amp; Frintrop, 2023)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การกำหนดคำเรียกให้ตรงกับความสามารถเป็นหลักสำคัญของงานวิจัย เพราะช่วยป้องกันการนำผลไปใช้เกินขอบเขต HandVox จึงจำแนกเฉพาะท่าที่ผู้พัฒนาหรือผู้ใช้เก็บไว้ในชุดข้อมูล และต้องให้ผู้ใช้กดเพิ่มคำลงในประโยค ไม่ได้แบ่งคำหรือวิเคราะห์ไวยากรณ์โดยอัตโนมัติ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2.2 การรู้จำแบบภาพนิ่ง แบบแยกคำ และแบบต่อเนื่อง</w:t>
      </w:r>
    </w:p>
    <w:p>
      <w:pPr>
        <w:pStyle w:val="Caption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</w:rPr>
        <w:t>ตารางที่ 2.1 การเปรียบเทียบระดับของการรู้จำ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1474"/>
        <w:gridCol w:w="1984"/>
        <w:gridCol w:w="1928"/>
        <w:gridCol w:w="2920"/>
      </w:tblGrid>
      <w:tr>
        <w:trPr>
          <w:tblHeader w:val="true"/>
        </w:trPr>
        <w:tc>
          <w:tcPr>
            <w:tcW w:type="dxa" w:w="1474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</w:rPr>
              <w:t>รูปแบบ</w:t>
            </w:r>
          </w:p>
        </w:tc>
        <w:tc>
          <w:tcPr>
            <w:tcW w:type="dxa" w:w="1984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</w:rPr>
              <w:t>ข้อมูลนำเข้า</w:t>
            </w:r>
          </w:p>
        </w:tc>
        <w:tc>
          <w:tcPr>
            <w:tcW w:type="dxa" w:w="1928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</w:rPr>
              <w:t>ผลลัพธ์</w:t>
            </w:r>
          </w:p>
        </w:tc>
        <w:tc>
          <w:tcPr>
            <w:tcW w:type="dxa" w:w="2920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</w:rPr>
              <w:t>ขอบเขต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ภาพนิ่ง</w:t>
            </w:r>
          </w:p>
        </w:tc>
        <w:tc>
          <w:tcPr>
            <w:tcW w:type="dxa" w:w="19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หนึ่งเฟรม</w:t>
            </w:r>
          </w:p>
        </w:tc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คลาสของรูปมือ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ไม่แทนลำดับการเคลื่อนไหว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แบบแยกคำ</w:t>
            </w:r>
          </w:p>
        </w:tc>
        <w:tc>
          <w:tcPr>
            <w:tcW w:type="dxa" w:w="19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คลิปของหนึ่งท่า</w:t>
            </w:r>
          </w:p>
        </w:tc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หนึ่งคำหรือหนึ่งป้ายกำกับ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เหมาะกับท่าที่มีจุดเริ่มและสิ้นสุดชัดเจน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แบบต่อเนื่อง</w:t>
            </w:r>
          </w:p>
        </w:tc>
        <w:tc>
          <w:tcPr>
            <w:tcW w:type="dxa" w:w="19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วิดีโอหลายท่าต่อกัน</w:t>
            </w:r>
          </w:p>
        </w:tc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ลำดับคำหรือประโยค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ต้องแบ่งหน่วยท่าและจัดการบริบท</w:t>
            </w:r>
          </w:p>
        </w:tc>
      </w:tr>
    </w:tbl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HandVox เลือกการรู้จำแบบแยกคำจากคลิป 30 เฟรม เพื่อให้ระบบรับรู้การเคลื่อนไหวของแขนและมือที่ไม่สามารถอธิบายด้วยภาพนิ่งเพียงเฟรมเดียว อย่างไรก็ดี ความยาว 30 เฟรมเป็นจำนวนตัวอย่างตามลำดับ ไม่ใช่ระยะเวลาแน่นอน เพราะระยะเวลาจริงขึ้นกับอัตราเฟรมของกล้องและภาระการประมวลผล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2.3 การมองเห็นด้วยคอมพิวเตอร์และจุดสำคัญ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การมองเห็นด้วยคอมพิวเตอร์เป็นกระบวนการรับภาพหรือวิดีโอและสกัดข้อมูลที่ใช้ตัดสินใจได้ OpenCV ทำหน้าที่เปิดกล้อง กลับภาพในแนวนอน วาดส่วนติดต่อ และแสดงผล ส่วน MediaPipe ทำหน้าที่ประมาณพิกัดจุดสำคัญ การใช้จุดสำคัญแทนภาพดิบช่วยลดมิติข้อมูลและทำให้ตีความได้ง่ายขึ้น แต่ยังขึ้นกับคุณภาพการตรวจหา การบังมือ แสง มุมกล้อง และความเร็วของการเคลื่อนไหว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งาน MediaPipe Hands เสนอการตรวจหาฝ่ามือร่วมกับแบบจำลองจุดสำคัญ 21 จุดต่อมือสำหรับการทำงานแบบเวลาจริงจากกล้อง RGB (Zhang et al., 2020) ส่วน MediaPipe Holistic รวมจุดท่าทางร่างกาย ใบหน้า และมือทั้งสองข้างไว้ในกระบวนการเดียว โดยคงความสอดคล้องของด้านซ้ายและขวาระหว่างเฟรม (Google AI Edge, n.d.)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2.4 MediaPipe Holistic ในโครงงาน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โครงงานตั้งค่า MediaPipe Holistic ให้ประมวลผลวิดีโอต่อเนื่อง (static_image_mode=False) ใช้ model_complexity=1 เปิด smooth_landmarks และกำหนด min_detection_confidence กับ min_tracking_confidence เท่ากับ 0.70 แม้ Holistic จะสามารถส่งออกจุดจำนวนมาก แต่ HandVox เลือกเฉพาะ 15 จุดของช่วงบนและจุดมือ 21 จุดต่อข้างเพื่อควบคุมขนาดข้อมูล</w:t>
      </w:r>
    </w:p>
    <w:p>
      <w:pPr>
        <w:pStyle w:val="Caption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</w:rPr>
        <w:t>ตารางที่ 2.2 คุณลักษณะที่ HandVox เลือกใช้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3515"/>
        <w:gridCol w:w="1247"/>
        <w:gridCol w:w="1361"/>
        <w:gridCol w:w="2183"/>
      </w:tblGrid>
      <w:tr>
        <w:trPr>
          <w:tblHeader w:val="true"/>
        </w:trPr>
        <w:tc>
          <w:tcPr>
            <w:tcW w:type="dxa" w:w="3515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</w:rPr>
              <w:t>กลุ่มจุด</w:t>
            </w:r>
          </w:p>
        </w:tc>
        <w:tc>
          <w:tcPr>
            <w:tcW w:type="dxa" w:w="1247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</w:rPr>
              <w:t>จำนวนจุด</w:t>
            </w:r>
          </w:p>
        </w:tc>
        <w:tc>
          <w:tcPr>
            <w:tcW w:type="dxa" w:w="1361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</w:rPr>
              <w:t>พิกัดต่อจุด</w:t>
            </w:r>
          </w:p>
        </w:tc>
        <w:tc>
          <w:tcPr>
            <w:tcW w:type="dxa" w:w="2183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</w:rPr>
              <w:t>จำนวนคุณลักษณะ</w:t>
            </w:r>
          </w:p>
        </w:tc>
      </w:tr>
      <w:tr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ช่วงบน: ศีรษะ ไหล่ ศอก ข้อมือ และสะโพก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15</w:t>
            </w:r>
          </w:p>
        </w:tc>
        <w:tc>
          <w:tcPr>
            <w:tcW w:type="dxa" w:w="136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x, y, z</w:t>
            </w:r>
          </w:p>
        </w:tc>
        <w:tc>
          <w:tcPr>
            <w:tcW w:type="dxa" w:w="218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45</w:t>
            </w:r>
          </w:p>
        </w:tc>
      </w:tr>
      <w:tr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มือซ้าย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21</w:t>
            </w:r>
          </w:p>
        </w:tc>
        <w:tc>
          <w:tcPr>
            <w:tcW w:type="dxa" w:w="136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x, y, z</w:t>
            </w:r>
          </w:p>
        </w:tc>
        <w:tc>
          <w:tcPr>
            <w:tcW w:type="dxa" w:w="218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63</w:t>
            </w:r>
          </w:p>
        </w:tc>
      </w:tr>
      <w:tr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มือขวา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21</w:t>
            </w:r>
          </w:p>
        </w:tc>
        <w:tc>
          <w:tcPr>
            <w:tcW w:type="dxa" w:w="136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x, y, z</w:t>
            </w:r>
          </w:p>
        </w:tc>
        <w:tc>
          <w:tcPr>
            <w:tcW w:type="dxa" w:w="218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63</w:t>
            </w:r>
          </w:p>
        </w:tc>
      </w:tr>
      <w:tr>
        <w:tc>
          <w:tcPr>
            <w:tcW w:type="dxa" w:w="351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รวมต่อเฟรม</w:t>
            </w:r>
          </w:p>
        </w:tc>
        <w:tc>
          <w:tcPr>
            <w:tcW w:type="dxa" w:w="124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57</w:t>
            </w:r>
          </w:p>
        </w:tc>
        <w:tc>
          <w:tcPr>
            <w:tcW w:type="dxa" w:w="136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3</w:t>
            </w:r>
          </w:p>
        </w:tc>
        <w:tc>
          <w:tcPr>
            <w:tcW w:type="dxa" w:w="218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171</w:t>
            </w:r>
          </w:p>
        </w:tc>
      </w:tr>
    </w:tbl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ระบบคืนค่า None เมื่อไม่พบโครงร่างท่าทางหรือไม่พบมือทั้งสองข้าง หากพบเพียงมือเดียว ระบบแทนคุณลักษณะของมือที่ไม่พบด้วยศูนย์จำนวน 63 ค่า วิธีนี้ทำให้ทุกเฟรมมีมิติเท่ากัน แต่ต้องระวังว่าศูนย์เป็นสัญลักษณ์ของข้อมูลที่หาย ไม่ใช่ตำแหน่งมือจริง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2.5 การปรับมาตรฐานเชิงตำแหน่งและขนาด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พิกัดจากภาพเปลี่ยนตามตำแหน่งผู้ใช้ ระยะห่าง และขนาดตัว HandVox จึงกำหนดจุดกึ่งกลางไหล่ซ้ายและขวาเป็นจุดอ้างอิง c และใช้ระยะยูคลิดระหว่างไหล่เป็นตัวปรับขนาด s สำหรับจุด p_i พิกัดที่ปรับแล้วคำนวณเป็น p′_i = (p_i − c) / max(s, 10⁻⁶) ทั้งแกน x, y และ z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การปรับดังกล่าวลดผลจากการเลื่อนตำแหน่งและการเปลี่ยนขนาดโดยรวม แต่ไม่ทำให้ข้อมูลไม่แปรผันต่อการหมุน มุมกล้อง หรือสัดส่วนร่างกายทั้งหมด จึงยังต้องเก็บข้อมูลจากระยะ มุม และความเร็วที่หลากหลาย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2.6 การแทนลำดับการเคลื่อนไหว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หนึ่งคลิปประกอบด้วย 30 เฟรมและแต่ละเฟรมมี 171 คุณลักษณะ จึงแทนได้เป็นเมทริกซ์ขนาด 30 × 171 ก่อนฝึก ระบบเรียงค่าทุกเฟรมต่อกันเป็นเวกเตอร์ 5,130 ค่า การเรียงตามลำดับเวลาเก็บข้อมูลการเคลื่อนไหวไว้ทางอ้อม เพราะตำแหน่งของคุณลักษณะในเวกเตอร์สัมพันธ์กับลำดับเฟรม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ข้อดีของวิธีนี้คือใช้งานร่วมกับตัวจำแนกแบบดั้งเดิมได้ง่ายและฝึกได้รวดเร็วเมื่อข้อมูลมีขนาดเล็ก ข้อจำกัดคือทุกคลิปต้องมีจำนวนเฟรมเท่ากัน และแบบจำลองอาจไวต่อความเร็วหรือจังหวะที่ต่างจากข้อมูลฝึกมาก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2.7 Support Vector Machine และ RBF Kernel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Support Vector Machine เป็นวิธีการเรียนรู้แบบมีผู้สอนที่สร้างขอบเขตการตัดสินใจโดยอาศัยตัวอย่างที่อยู่ใกล้ขอบเขตของคลาส แนวคิดดั้งเดิมเสนอการแปลงข้อมูลไปยังปริภูมิที่มีมิติสูงเพื่อสร้างขอบเขตที่แยกข้อมูลได้ดี (Cortes &amp; Vapnik, 1995) RBF kernel ช่วยสร้างขอบเขตไม่เชิงเส้นและเหมาะกับความสัมพันธ์ที่ซับซ้อนระหว่างตำแหน่งจุดหลายเฟรม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HandVox ใช้ SVC ของ scikit-learn โดยกำหนด kernel='rbf', C=10, gamma='scale' และ probability=True ค่า C ควบคุมการแลกเปลี่ยนระหว่างขอบเขตที่กว้างกับข้อผิดพลาดบนข้อมูลฝึก ส่วน gamma กำหนดอิทธิพลของตัวอย่างต่อรูปร่างขอบเขต การเปิด probability ทำให้ระบบรายงานค่าประกอบการตัดสินใจ แต่ค่าดังกล่าวไม่ควรถูกตีความเป็นการรับประกันความถูกต้องในโลกจริง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2.8 การแบ่งข้อมูลและการป้องกันการรั่วไหลของข้อมูล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การแบ่งชุดข้อมูลฝึกและทดสอบต้องทำก่อนประเมินผล โดยใช้ข้อมูลทดสอบเฉพาะสำหรับวัดความสามารถกับตัวอย่างที่โมเดลไม่ได้ใช้ฝึก HandVox ใช้การแบ่ง 80:20 แบบ stratified และ random_state=42 เพื่อรักษาสัดส่วนคลาสและทำซ้ำได้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อย่างไรก็ตาม คลิปที่เก็บต่อเนื่องจากผู้ทำท่าคนเดียว เซสชันเดียว และพื้นหลังเดียวอาจคล้ายกันมาก แม้จะอยู่คนละไฟล์คลิป หากสุ่มคลิประหว่างชุดฝึกและทดสอบ คะแนนอาจสะท้อนความสามารถในการจำลักษณะของเซสชันมากกว่าความสามารถกับผู้ใช้ใหม่ แนวทางที่เข้มงวดกว่าคือแบ่งตามผู้ให้ข้อมูลหรือรอบการเก็บ (grouped split) และมีชุดทดสอบภายนอกที่แยกจากกระบวนการพัฒนา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2.9 ตัวชี้วัดการจำแนก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Accuracy คือสัดส่วนตัวอย่างที่ทำนายถูกทั้งหมด แต่เมื่อจำนวนตัวอย่างหรือความยากของแต่ละคลาสต่างกัน ควรรายงาน precision, recall และ F1-score รายคลาส รวมถึงค่าเฉลี่ยแบบ macro ซึ่งให้น้ำหนักทุกคลาสเท่ากัน Confusion matrix ช่วยแสดงว่าท่าใดถูกสับสนกับท่าใด (Sokolova &amp; Lapalme, 2009)</w:t>
      </w:r>
    </w:p>
    <w:p>
      <w:pPr>
        <w:pStyle w:val="Caption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</w:rPr>
        <w:t>ตารางที่ 2.3 ตัวชี้วัดที่ควรรายงาน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1701"/>
        <w:gridCol w:w="3969"/>
        <w:gridCol w:w="2636"/>
      </w:tblGrid>
      <w:tr>
        <w:trPr>
          <w:tblHeader w:val="true"/>
        </w:trPr>
        <w:tc>
          <w:tcPr>
            <w:tcW w:type="dxa" w:w="1701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</w:rPr>
              <w:t>ตัวชี้วัด</w:t>
            </w:r>
          </w:p>
        </w:tc>
        <w:tc>
          <w:tcPr>
            <w:tcW w:type="dxa" w:w="3969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</w:rPr>
              <w:t>ความหมาย</w:t>
            </w:r>
          </w:p>
        </w:tc>
        <w:tc>
          <w:tcPr>
            <w:tcW w:type="dxa" w:w="2636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</w:rPr>
              <w:t>การใช้ในโครงงาน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Accuracy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สัดส่วนการทำนายถูกทั้งหมด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ภาพรวมของชุดทดสอบ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Precision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เมื่อระบบทำนายเป็นคลาสหนึ่ง มีสัดส่วนถูกเท่าใด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ตรวจการทำนายเกิน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Recall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ตัวอย่างจริงของคลาสหนึ่งถูกพบเท่าใด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ตรวจการพลาดคลาส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F1-score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ค่าเฉลี่ยฮาร์มอนิกของ precision และ recall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เปรียบเทียบรายคลาส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Confusion matrix</w:t>
            </w:r>
          </w:p>
        </w:tc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จำนวนจริงและทำนายของทุกคู่คลาส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</w:rPr>
              <w:t>ค้นหาคู่ท่าที่สับสน</w:t>
            </w:r>
          </w:p>
        </w:tc>
      </w:tr>
    </w:tbl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2.10 การประมวลผลแบบเวลาจริงและเสียงพูด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ขณะใช้งาน ระบบเก็บคุณลักษณะล่าสุดในคิว 30 เฟรม เมื่อคิวเต็มจึงคำนวณความน่าจะเป็นของทุกคลาส รับเฉพาะผลที่มีค่าอย่างน้อย 0.40 และใช้ผลย้อนหลัง 3 ครั้งเพื่อเลือกคลาสที่พบมากที่สุด หากไม่พบมือเกิน 0.4 วินาที ระบบล้างคิวและสถานะ การประมวลผลนี้ช่วยลดการสั่นของหน้าจอ แต่ไม่ได้แทนการประเมินความถูกต้องของโมเดล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ผลลัพธ์สามารถเพิ่มเป็นประโยคด้วยแป้นพิมพ์และส่งให้ gTTS สร้างเสียงภาษาไทย โดย pygame เล่นไฟล์เสียงที่สร้างชั่วคราว TTS เป็นช่องทางนำเสนอผล ไม่ได้มีส่วนในการรู้จำท่าทาง และต้องใช้อินเทอร์เน็ตในขณะสร้างเสียงตามการติดตั้งปัจจุบัน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2.11 งานและแนวคิดที่เกี่ยวข้อง</w:t>
      </w:r>
    </w:p>
    <w:p>
      <w:pPr>
        <w:pStyle w:val="Caption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</w:rPr>
        <w:t>ตารางที่ 2.4 งานและแนวคิดที่เกี่ยวข้อง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2268"/>
        <w:gridCol w:w="3118"/>
        <w:gridCol w:w="2920"/>
      </w:tblGrid>
      <w:tr>
        <w:trPr>
          <w:tblHeader w:val="true"/>
        </w:trPr>
        <w:tc>
          <w:tcPr>
            <w:tcW w:type="dxa" w:w="2268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</w:rPr>
              <w:t>แหล่งอ้างอิง</w:t>
            </w:r>
          </w:p>
        </w:tc>
        <w:tc>
          <w:tcPr>
            <w:tcW w:type="dxa" w:w="3118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</w:rPr>
              <w:t>ประเด็นสำคัญ</w:t>
            </w:r>
          </w:p>
        </w:tc>
        <w:tc>
          <w:tcPr>
            <w:tcW w:type="dxa" w:w="2920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</w:rPr>
              <w:t>ความสัมพันธ์กับ HandVox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Cortes &amp; Vapnik (1995)</w:t>
            </w:r>
          </w:p>
        </w:tc>
        <w:tc>
          <w:tcPr>
            <w:tcW w:type="dxa" w:w="311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หลักการ Support Vector Networks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ฐานของตัวจำแนก SVM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Zhang et al. (2020)</w:t>
            </w:r>
          </w:p>
        </w:tc>
        <w:tc>
          <w:tcPr>
            <w:tcW w:type="dxa" w:w="311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การติดตามโครงร่างมือ 21 จุดแบบเวลาจริง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ฐานของคุณลักษณะมือ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Yu et al. (2022)</w:t>
            </w:r>
          </w:p>
        </w:tc>
        <w:tc>
          <w:tcPr>
            <w:tcW w:type="dxa" w:w="311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ทบทวนงานรู้จำระดับท่าทาง คำแยก และประโยคต่อเนื่อง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ใช้กำหนดขอบเขตการกล่าวอ้าง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Sarhan &amp; Frintrop (2023)</w:t>
            </w:r>
          </w:p>
        </w:tc>
        <w:tc>
          <w:tcPr>
            <w:tcW w:type="dxa" w:w="311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สำรวจการรู้จำภาษามือแบบแยกคำและชุดข้อมูล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ใช้วิเคราะห์ข้อจำกัดด้านผู้ทำท่าและข้อมูล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Chalotonpised et al. (2026)</w:t>
            </w:r>
          </w:p>
        </w:tc>
        <w:tc>
          <w:tcPr>
            <w:tcW w:type="dxa" w:w="311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ชุดข้อมูลภาษามือไทยระดับคำจากหลายผู้ทำท่า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ใช้เปรียบเทียบขนาดข้อมูลและการทดสอบแบบ signer-independent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Google AI Edge (n.d.)</w:t>
            </w:r>
          </w:p>
        </w:tc>
        <w:tc>
          <w:tcPr>
            <w:tcW w:type="dxa" w:w="311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MediaPipe Holistic สำหรับจุดร่างกาย ใบหน้า และมือ</w:t>
            </w:r>
          </w:p>
        </w:tc>
        <w:tc>
          <w:tcPr>
            <w:tcW w:type="dxa" w:w="29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</w:rPr>
              <w:t>กระบวนการตรวจหาจุดของระบบ</w:t>
            </w:r>
          </w:p>
        </w:tc>
      </w:tr>
    </w:tbl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งาน TSL-ONE-S รายงานชุดข้อมูลภาษามือไทยระดับคำ 4,152 วิดีโอ ครอบคลุม 184 คำ จากผู้ทำท่า 29 คน และประเมินแบบแยกผู้ทำท่า (signer-independent) (Chalotonpised et al., 2026) งานดังกล่าวชี้ให้เห็นความสำคัญของความหลากหลายด้านบุคคลและสภาพแวดล้อม ดังนั้นชุดข้อมูล 90 คลิปจาก 3 ท่าของ HandVox ควรถูกอธิบายว่าเป็นชุดข้อมูลต้นแบบภายในโครงงาน ไม่ใช่หลักฐานความสามารถทั่วไปของระบบ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2.12 ความน่าเชื่อถือ จริยธรรม และการเข้าถึง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ข้อมูลท่าทางอาจเกี่ยวข้องกับอัตลักษณ์ การเคลื่อนไหว และสภาพแวดล้อมของผู้ให้ข้อมูล การเก็บข้อมูลจากบุคคลจึงควรแจ้งวัตถุประสงค์ ขอความยินยอม จำกัดการใช้ และเก็บเฉพาะข้อมูลที่จำเป็น โครงงานปัจจุบันจัดเก็บจุดสำคัญและป้ายกำกับในไฟล์ NPZ ไม่ได้บันทึกวิดีโอต้นฉบับเป็นชุดข้อมูล แต่ภาพจากกล้องยังถูกประมวลผลในหน่วยความจำระหว่างเก็บและใช้งาน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ระบบควรรายงานข้อจำกัดอย่างชัดเจน ไม่อ้างว่าสามารถแทนล่ามหรือรองรับภาษามือไทยทั้งหมด และควรประเมินกับผู้ใช้หลายคนก่อนใช้งานจริง การออกแบบส่วนติดต่อควรแสดงผลที่อ่านง่าย มีทางเลือกข้อความเมื่อเสียงใช้ไม่ได้ และให้ผู้ใช้แก้ไขหรือลบคำที่ระบบทำนายผิด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2.13 บทสรุป</w:t>
      </w:r>
    </w:p>
    <w:p>
      <w:pPr>
        <w:keepLines w:val="0"/>
        <w:ind w:firstLine="709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</w:rPr>
        <w:t>HandVox เป็นระบบรู้จำท่าทางภาษามือแบบแยกคำจากลำดับ 30 เฟรม โดยใช้ MediaPipe Holistic สกัด 171 คุณลักษณะต่อเฟรม ปรับมาตรฐานด้วยตำแหน่งและระยะไหล่ เรียงเป็นเวกเตอร์ 5,130 ค่า และจำแนกด้วย SVM แบบ RBF แนวทางนี้เหมาะกับต้นแบบข้อมูลขนาดเล็กและตรวจสอบกระบวนการได้ง่าย แต่ยังต้องควบคุมการรั่วไหลของข้อมูล ทดสอบกับผู้ทำท่าและสภาพแวดล้อมใหม่ และจำกัดการกล่าวอ้างให้ตรงกับการรู้จำแบบแยกคำ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</w:rPr>
        <w:t>รายการอ้างอิงของบท</w:t>
      </w:r>
    </w:p>
    <w:p>
      <w:pPr>
        <w:spacing w:after="60" w:line="240" w:lineRule="auto"/>
        <w:ind w:left="709" w:hanging="709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</w:rPr>
        <w:t>Bradski, G. (2000). The OpenCV Library. Dr. Dobb’s Journal of Software Tools.</w:t>
      </w:r>
    </w:p>
    <w:p>
      <w:pPr>
        <w:spacing w:after="60" w:line="240" w:lineRule="auto"/>
        <w:ind w:left="709" w:hanging="709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</w:rPr>
        <w:t>Cortes, C., &amp; Vapnik, V. (1995). Support-vector networks. Machine Learning, 20, 273–297. https://doi.org/10.1007/BF00994018</w:t>
      </w:r>
    </w:p>
    <w:p>
      <w:pPr>
        <w:spacing w:after="60" w:line="240" w:lineRule="auto"/>
        <w:ind w:left="709" w:hanging="709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</w:rPr>
        <w:t>Chalotonpised, J., Chen, W. H., Vijitkunsawat, W., &amp; Lin, Y. C. (2026). TSL-ONE-S: A real-world Thai sign language dataset with deep learning benchmarks. IEEE Access, 14, 37845–37870. https://doi.org/10.1109/ACCESS.2026.3670970</w:t>
      </w:r>
    </w:p>
    <w:p>
      <w:pPr>
        <w:spacing w:after="60" w:line="240" w:lineRule="auto"/>
        <w:ind w:left="709" w:hanging="709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</w:rPr>
        <w:t>Google AI Edge. (n.d.). Holistic landmarks detection task guide. Retrieved August 1, 2026, from https://developers.google.com/edge/mediapipe/solutions/vision/holistic_landmarker</w:t>
      </w:r>
    </w:p>
    <w:p>
      <w:pPr>
        <w:spacing w:after="60" w:line="240" w:lineRule="auto"/>
        <w:ind w:left="709" w:hanging="709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</w:rPr>
        <w:t>Pedregosa, F., Varoquaux, G., Gramfort, A., Michel, V., Thirion, B., Grisel, O., Blondel, M., Prettenhofer, P., Weiss, R., Dubourg, V., Vanderplas, J., Passos, A., Cournapeau, D., Brucher, M., Perrot, M., &amp; Duchesnay, E. (2011). Scikit-learn: Machine learning in Python. Journal of Machine Learning Research, 12(85), 2825–2830.</w:t>
      </w:r>
    </w:p>
    <w:p>
      <w:pPr>
        <w:spacing w:after="60" w:line="240" w:lineRule="auto"/>
        <w:ind w:left="709" w:hanging="709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</w:rPr>
        <w:t>Sarhan, N., &amp; Frintrop, S. (2023). Unraveling a decade: A comprehensive survey on isolated sign language recognition. Proceedings of the IEEE/CVF International Conference on Computer Vision Workshops, 3210–3219. https://openaccess.thecvf.com/content/ICCV2023W/AMFG/html/Sarhan_Unraveling_a_Decade_A_Comprehensive_Survey_on_Isolated_Sign_Language_ICCVW_2023_paper.html</w:t>
      </w:r>
    </w:p>
    <w:p>
      <w:pPr>
        <w:spacing w:after="60" w:line="240" w:lineRule="auto"/>
        <w:ind w:left="709" w:hanging="709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</w:rPr>
        <w:t>Sokolova, M., &amp; Lapalme, G. (2009). A systematic analysis of performance measures for classification tasks. Information Processing &amp; Management, 45(4), 427–437. https://doi.org/10.1016/j.ipm.2009.03.002</w:t>
      </w:r>
    </w:p>
    <w:p>
      <w:pPr>
        <w:spacing w:after="60" w:line="240" w:lineRule="auto"/>
        <w:ind w:left="709" w:hanging="709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</w:rPr>
        <w:t>Yu, M., Jia, J., Xue, C., Yan, G., Guo, Y., &amp; Liu, Y. (2022). A review of sign language recognition research. Journal of Intelligent &amp; Fuzzy Systems, 43(4), 3879–3898. https://doi.org/10.3233/JIFS-210050</w:t>
      </w:r>
    </w:p>
    <w:p>
      <w:pPr>
        <w:spacing w:after="60" w:line="240" w:lineRule="auto"/>
        <w:ind w:left="709" w:hanging="709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</w:rPr>
        <w:t>Zhang, F., Bazarevsky, V., Vakunov, A., Tkachenka, A., Sung, G., Chang, C.-L., &amp; Grundmann, M. (2020). MediaPipe Hands: On-device real-time hand tracking. arXiv:2006.10214. https://doi.org/10.48550/arXiv.2006.10214</w:t>
      </w:r>
    </w:p>
    <w:sectPr w:rsidR="00FC693F" w:rsidRPr="0006063C" w:rsidSect="00034616">
      <w:footerReference w:type="default" r:id="rId9"/>
      <w:pgSz w:w="11906" w:h="16838"/>
      <w:pgMar w:top="2160" w:right="1440" w:bottom="1440" w:left="216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ngsana New" w:hAnsi="Angsana New" w:eastAsia="Angsana New" w:cs="Angsana New"/>
        <w:b w:val="0"/>
        <w:i w:val="0"/>
        <w:color w:val="111111"/>
        <w:sz w:val="28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276" w:lineRule="auto"/>
      <w:ind w:firstLine="709"/>
      <w:jc w:val="both"/>
    </w:pPr>
    <w:rPr>
      <w:rFonts w:ascii="Angsana New" w:hAnsi="Angsana New" w:eastAsia="Angsana New" w:cs="Angsana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ind w:firstLine="0"/>
      <w:outlineLvl w:val="0"/>
    </w:pPr>
    <w:rPr>
      <w:rFonts w:asciiTheme="majorHAnsi" w:eastAsiaTheme="majorEastAsia" w:hAnsiTheme="majorHAnsi" w:cstheme="majorBidi" w:ascii="Angsana New" w:hAnsi="Angsana New" w:eastAsia="Angsana New" w:cs="Angsana New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ind w:firstLine="0"/>
      <w:outlineLvl w:val="1"/>
    </w:pPr>
    <w:rPr>
      <w:rFonts w:asciiTheme="majorHAnsi" w:eastAsiaTheme="majorEastAsia" w:hAnsiTheme="majorHAnsi" w:cstheme="majorBidi" w:ascii="Angsana New" w:hAnsi="Angsana New" w:eastAsia="Angsana New" w:cs="Angsana New"/>
      <w:b/>
      <w:bCs/>
      <w:color w:val="11111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ind w:firstLine="0"/>
      <w:outlineLvl w:val="2"/>
    </w:pPr>
    <w:rPr>
      <w:rFonts w:asciiTheme="majorHAnsi" w:eastAsiaTheme="majorEastAsia" w:hAnsiTheme="majorHAnsi" w:cstheme="majorBidi" w:ascii="Angsana New" w:hAnsi="Angsana New" w:eastAsia="Angsana New" w:cs="Angsana New"/>
      <w:b/>
      <w:bCs/>
      <w:color w:val="11111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60" w:after="120"/>
      <w:ind w:firstLine="0"/>
      <w:jc w:val="center"/>
    </w:pPr>
    <w:rPr>
      <w:rFonts w:ascii="Angsana New" w:hAnsi="Angsana New" w:eastAsia="Angsana New"/>
      <w:b/>
      <w:bCs/>
      <w:i w:val="0"/>
      <w:color w:val="111111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