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986E" w14:textId="77777777" w:rsidR="00084F2F" w:rsidRDefault="00000000">
      <w:pPr>
        <w:keepNext/>
        <w:spacing w:after="0"/>
        <w:ind w:firstLine="0"/>
        <w:jc w:val="center"/>
      </w:pPr>
      <w:r>
        <w:rPr>
          <w:b/>
          <w:color w:val="000000"/>
          <w:sz w:val="40"/>
          <w:lang w:val="th-TH" w:eastAsia="th-TH" w:bidi="th-TH"/>
        </w:rPr>
        <w:t>บทที่ 2</w:t>
      </w:r>
    </w:p>
    <w:p w14:paraId="60C482A2" w14:textId="77777777" w:rsidR="00084F2F" w:rsidRDefault="00000000">
      <w:pPr>
        <w:keepNext/>
        <w:spacing w:after="240"/>
        <w:ind w:firstLine="0"/>
        <w:jc w:val="center"/>
      </w:pPr>
      <w:r>
        <w:rPr>
          <w:b/>
          <w:color w:val="000000"/>
          <w:sz w:val="40"/>
          <w:lang w:val="th-TH" w:eastAsia="th-TH" w:bidi="th-TH"/>
        </w:rPr>
        <w:t>ความรู้พื้นฐานและงานที่เกี่ยวข้อง</w:t>
      </w:r>
    </w:p>
    <w:p w14:paraId="6DD47669" w14:textId="77777777" w:rsidR="00084F2F" w:rsidRDefault="00000000">
      <w:pPr>
        <w:spacing w:before="400" w:after="120"/>
      </w:pPr>
      <w:r>
        <w:rPr>
          <w:color w:val="000000"/>
          <w:lang w:val="th-TH" w:eastAsia="th-TH" w:bidi="th-TH"/>
        </w:rPr>
        <w:t>บทนี้อธิบายแนวคิดที่จำเป็นต่อการพัฒนา HandVox ตั้งแต่ขอบเขตของการรู้จำภาษามือด้วยคอมพิวเตอร์ การตรวจหาจุดสำคัญ การแทนลำดับการเคลื่อนไหว การจำแนก และหลักการประเมินผล โดยมีหัวข้อดังนี้</w:t>
      </w:r>
    </w:p>
    <w:p w14:paraId="0ACF9A20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2.1 ภาษามือ การรู้จำ และการแปล</w:t>
      </w:r>
    </w:p>
    <w:p w14:paraId="59587A64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2.2 การรู้จำแบบภาพนิ่ง แบบแยกคำ และแบบต่อเนื่อง</w:t>
      </w:r>
    </w:p>
    <w:p w14:paraId="325C3415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2.3 การมองเห็นด้วยคอมพิวเตอร์และจุดสำคัญ</w:t>
      </w:r>
    </w:p>
    <w:p w14:paraId="1646D6BC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2.4 MediaPipe Holistic ในโครงงาน</w:t>
      </w:r>
    </w:p>
    <w:p w14:paraId="36A89A40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2.5 การปรับมาตรฐานเชิงตำแหน่งและขนาด</w:t>
      </w:r>
    </w:p>
    <w:p w14:paraId="7D326CAD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2.6 การแทนลำดับการเคลื่อนไหว</w:t>
      </w:r>
    </w:p>
    <w:p w14:paraId="12802A7A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2.7 Support Vector Machine และ RBF Kernel</w:t>
      </w:r>
    </w:p>
    <w:p w14:paraId="59EA4716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2.8 การแบ่งข้อมูลและการป้องกันการรั่วไหลของข้อมูล</w:t>
      </w:r>
    </w:p>
    <w:p w14:paraId="0BB5FCC0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2.9 ตัวชี้วัดการจำแนก</w:t>
      </w:r>
    </w:p>
    <w:p w14:paraId="5FADF87C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2.10 การประมวลผลแบบเวลาจริงและเสียงพูด</w:t>
      </w:r>
    </w:p>
    <w:p w14:paraId="3022A9BB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2.11 งานและแนวคิดที่เกี่ยวข้อง</w:t>
      </w:r>
    </w:p>
    <w:p w14:paraId="3CD62800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2.12 ความน่าเชื่อถือ จริยธรรม และการเข้าถึง</w:t>
      </w:r>
    </w:p>
    <w:p w14:paraId="7EC96342" w14:textId="77777777" w:rsidR="00084F2F" w:rsidRDefault="00000000">
      <w:pPr>
        <w:keepLines/>
        <w:spacing w:after="0" w:line="240" w:lineRule="auto"/>
        <w:ind w:left="1134" w:hanging="425"/>
      </w:pPr>
      <w:r>
        <w:rPr>
          <w:color w:val="000000"/>
          <w:lang w:val="th-TH" w:eastAsia="th-TH" w:bidi="th-TH"/>
        </w:rPr>
        <w:t>2.13 บทสรุป</w:t>
      </w:r>
    </w:p>
    <w:p w14:paraId="0EF1E453" w14:textId="77777777" w:rsidR="00084F2F" w:rsidRDefault="00000000">
      <w:r>
        <w:br w:type="page"/>
      </w:r>
    </w:p>
    <w:p w14:paraId="70D0F5AD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lastRenderedPageBreak/>
        <w:t>2.1 ภาษามือ การรู้จำ และการแปล</w:t>
      </w:r>
    </w:p>
    <w:p w14:paraId="1B6DF086" w14:textId="77777777" w:rsidR="00084F2F" w:rsidRDefault="00000000">
      <w:r>
        <w:rPr>
          <w:color w:val="000000"/>
          <w:lang w:val="th-TH" w:eastAsia="th-TH" w:bidi="th-TH"/>
        </w:rPr>
        <w:t>ภาษามือเป็นภาษาธรรมชาติที่ใช้รูปมือ ตำแหน่ง ทิศทาง การเคลื่อนไหว การแสดงสีหน้า และโครงสร้างทางภาษา การทำให้คอมพิวเตอร์ระบุหน่วยท่าหรือคำจากวิดีโอเรียกว่า การรู้จำภาษามือ (Sign Language Recognition: SLR) ส่วนการแปลภาษามือ (Sign Language Translation: SLT) ต้องแปลงลำดับภาษามือให้เป็นประโยคของภาษาปลายทางโดยคำนึงถึงโครงสร้างและบริบท ดังนั้นระบบที่ส่งออกชื่อท่าจากคลิปสั้นจึงอยู่ในกลุ่มการรู้จำแบบแยกคำ ไม่ใช่ระบบแปลภาษามือต่อเนื่อง (Yu et al., 2022; Sarhan &amp; Frintrop, 2023)</w:t>
      </w:r>
    </w:p>
    <w:p w14:paraId="63B11620" w14:textId="77777777" w:rsidR="00084F2F" w:rsidRDefault="00000000">
      <w:r>
        <w:rPr>
          <w:color w:val="000000"/>
          <w:lang w:val="th-TH" w:eastAsia="th-TH" w:bidi="th-TH"/>
        </w:rPr>
        <w:t>การกำหนดคำเรียกให้ตรงกับความสามารถเป็นหลักสำคัญของงานวิจัย เพราะช่วยป้องกันการนำผลไปใช้เกินขอบเขต HandVox จึงจำแนกเฉพาะท่าที่ผู้พัฒนาหรือผู้ใช้เก็บไว้ในชุดข้อมูล และต้องให้ผู้ใช้กดเพิ่มคำลงในประโยค ไม่ได้แบ่งคำหรือวิเคราะห์ไวยากรณ์โดยอัตโนมัติ</w:t>
      </w:r>
    </w:p>
    <w:p w14:paraId="1BAAB47A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2.2 การรู้จำแบบภาพนิ่ง แบบแยกคำ และแบบต่อเนื่อง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1984"/>
        <w:gridCol w:w="1928"/>
        <w:gridCol w:w="2920"/>
      </w:tblGrid>
      <w:tr w:rsidR="00084F2F" w14:paraId="4EF00215" w14:textId="77777777">
        <w:trPr>
          <w:cantSplit/>
          <w:tblHeader/>
          <w:jc w:val="center"/>
        </w:trPr>
        <w:tc>
          <w:tcPr>
            <w:tcW w:w="147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A608B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รูปแบบ</w:t>
            </w:r>
          </w:p>
        </w:tc>
        <w:tc>
          <w:tcPr>
            <w:tcW w:w="1984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B6A57E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ข้อมูลนำเข้า</w:t>
            </w:r>
          </w:p>
        </w:tc>
        <w:tc>
          <w:tcPr>
            <w:tcW w:w="192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782F3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ผลลัพธ์</w:t>
            </w:r>
          </w:p>
        </w:tc>
        <w:tc>
          <w:tcPr>
            <w:tcW w:w="29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79C9E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ขอบเขต</w:t>
            </w:r>
          </w:p>
        </w:tc>
      </w:tr>
      <w:tr w:rsidR="00084F2F" w14:paraId="21C6BDDB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CD1AB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ภาพนิ่ง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4787D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หนึ่งเฟรม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F5EC7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คลาสของรูปมือ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3CC6F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ไม่แทนลำดับการเคลื่อนไหว</w:t>
            </w:r>
          </w:p>
        </w:tc>
      </w:tr>
      <w:tr w:rsidR="00084F2F" w14:paraId="5EB3B06F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E3407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แบบแยกคำ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CED697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คลิปของหนึ่งท่า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6E31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หนึ่งคำหรือหนึ่งป้ายกำกับ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F3A13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เหมาะกับท่าที่มีจุดเริ่มและสิ้นสุดชัดเจน</w:t>
            </w:r>
          </w:p>
        </w:tc>
      </w:tr>
      <w:tr w:rsidR="00084F2F" w14:paraId="6127CD42" w14:textId="77777777">
        <w:trPr>
          <w:cantSplit/>
          <w:jc w:val="center"/>
        </w:trPr>
        <w:tc>
          <w:tcPr>
            <w:tcW w:w="14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481BE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แบบต่อเนื่อง</w:t>
            </w:r>
          </w:p>
        </w:tc>
        <w:tc>
          <w:tcPr>
            <w:tcW w:w="19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233AF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วิดีโอหลายท่าต่อกัน</w:t>
            </w:r>
          </w:p>
        </w:tc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59C5D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ลำดับคำหรือประโยค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C62D2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ต้องแบ่งหน่วยท่าและจัดการบริบท</w:t>
            </w:r>
          </w:p>
        </w:tc>
      </w:tr>
    </w:tbl>
    <w:p w14:paraId="4EFA34F1" w14:textId="77777777" w:rsidR="00084F2F" w:rsidRDefault="00000000">
      <w:pPr>
        <w:pStyle w:val="af7"/>
        <w:keepLines/>
        <w:spacing w:before="0" w:after="20"/>
      </w:pPr>
      <w:r>
        <w:rPr>
          <w:b w:val="0"/>
          <w:lang w:val="th-TH" w:eastAsia="th-TH" w:bidi="th-TH"/>
        </w:rPr>
        <w:t>ตารางที่ 2.1 การเปรียบเทียบระดับของการรู้จำ</w:t>
      </w:r>
    </w:p>
    <w:p w14:paraId="6FCDE4D4" w14:textId="77777777" w:rsidR="00084F2F" w:rsidRDefault="00000000">
      <w:r>
        <w:rPr>
          <w:color w:val="000000"/>
          <w:lang w:val="th-TH" w:eastAsia="th-TH" w:bidi="th-TH"/>
        </w:rPr>
        <w:t>HandVox เลือกการรู้จำแบบแยกคำจากคลิป 30 เฟรม เพื่อให้ระบบรับรู้การเคลื่อนไหวของแขนและมือที่ไม่สามารถอธิบายด้วยภาพนิ่งเพียงเฟรมเดียว อย่างไรก็ดี ความยาว 30 เฟรมเป็นจำนวนตัวอย่างตามลำดับ ไม่ใช่ระยะเวลาแน่นอน เพราะระยะเวลาจริงขึ้นกับอัตราเฟรมของกล้องและภาระการประมวลผล</w:t>
      </w:r>
    </w:p>
    <w:p w14:paraId="48D08CB4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lastRenderedPageBreak/>
        <w:t>2.3 การมองเห็นด้วยคอมพิวเตอร์และจุดสำคัญ</w:t>
      </w:r>
    </w:p>
    <w:p w14:paraId="03B2C09E" w14:textId="77777777" w:rsidR="00084F2F" w:rsidRDefault="00000000">
      <w:r>
        <w:rPr>
          <w:color w:val="000000"/>
          <w:lang w:val="th-TH" w:eastAsia="th-TH" w:bidi="th-TH"/>
        </w:rPr>
        <w:t>การมองเห็นด้วยคอมพิวเตอร์เป็นกระบวนการรับภาพหรือวิดีโอและสกัดข้อมูลที่ใช้ตัดสินใจได้ OpenCV ทำหน้าที่เปิดกล้อง กลับภาพในแนวนอน วาดส่วนติดต่อ และแสดงผล ส่วน MediaPipe ทำหน้าที่ประมาณพิกัดจุดสำคัญ การใช้จุดสำคัญแทนภาพดิบช่วยลดมิติข้อมูลและทำให้ตีความได้ง่ายขึ้น แต่ยังขึ้นกับคุณภาพการตรวจหา การบังมือ แสง มุมกล้อง และความเร็วของการเคลื่อนไหว</w:t>
      </w:r>
    </w:p>
    <w:p w14:paraId="7B941E19" w14:textId="77777777" w:rsidR="00084F2F" w:rsidRDefault="00000000">
      <w:r>
        <w:rPr>
          <w:color w:val="000000"/>
          <w:lang w:val="th-TH" w:eastAsia="th-TH" w:bidi="th-TH"/>
        </w:rPr>
        <w:t>งาน MediaPipe Hands เสนอการตรวจหาฝ่ามือร่วมกับแบบจำลองจุดสำคัญ 21 จุดต่อมือสำหรับการทำงานแบบเวลาจริงจากกล้อง RGB (Zhang et al., 2020) ส่วน MediaPipe Holistic รวมจุดท่าทางร่างกาย ใบหน้า และมือทั้งสองข้างไว้ในกระบวนการเดียว โดยคงความสอดคล้องของด้านซ้ายและขวาระหว่างเฟรม (Google AI Edge, n.d.)</w:t>
      </w:r>
    </w:p>
    <w:p w14:paraId="7C53A7D4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2.4 MediaPipe Holistic ในโครงงาน</w:t>
      </w:r>
    </w:p>
    <w:p w14:paraId="305A6EDF" w14:textId="77777777" w:rsidR="00084F2F" w:rsidRDefault="00000000">
      <w:r>
        <w:rPr>
          <w:color w:val="000000"/>
          <w:lang w:val="th-TH" w:eastAsia="th-TH" w:bidi="th-TH"/>
        </w:rPr>
        <w:t>โครงงานตั้งค่า MediaPipe Holistic ให้ประมวลผลวิดีโอต่อเนื่อง (static_image_mode=False) ใช้ model_complexity=1 เปิด smooth_landmarks และกำหนด min_detection_confidence กับ min_tracking_confidence เท่ากับ 0.70 แม้ Holistic จะสามารถส่งออกจุดจำนวนมาก แต่ HandVox เลือกเฉพาะ 15 จุดของช่วงบนและจุดมือ 21 จุดต่อข้างเพื่อควบคุมขนาดข้อมูล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1247"/>
        <w:gridCol w:w="1361"/>
        <w:gridCol w:w="2183"/>
      </w:tblGrid>
      <w:tr w:rsidR="00084F2F" w14:paraId="78FF1BE6" w14:textId="77777777">
        <w:trPr>
          <w:cantSplit/>
          <w:tblHeader/>
          <w:jc w:val="center"/>
        </w:trPr>
        <w:tc>
          <w:tcPr>
            <w:tcW w:w="3515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C286C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กลุ่มจุด</w:t>
            </w:r>
          </w:p>
        </w:tc>
        <w:tc>
          <w:tcPr>
            <w:tcW w:w="1247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76EAF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จำนวนจุด</w:t>
            </w:r>
          </w:p>
        </w:tc>
        <w:tc>
          <w:tcPr>
            <w:tcW w:w="136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DF2EF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พิกัดต่อจุด</w:t>
            </w:r>
          </w:p>
        </w:tc>
        <w:tc>
          <w:tcPr>
            <w:tcW w:w="218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D9FFA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จำนวนคุณลักษณะ</w:t>
            </w:r>
          </w:p>
        </w:tc>
      </w:tr>
      <w:tr w:rsidR="00084F2F" w14:paraId="0DF3ACB7" w14:textId="77777777">
        <w:trPr>
          <w:cantSplit/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E3DEA" w14:textId="77777777" w:rsidR="00084F2F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ช่วงบน: ศีรษะ ไหล่ ศอก ข้อมือ และสะโพก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A217D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15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E3660A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x, y, z</w:t>
            </w:r>
          </w:p>
        </w:tc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E7F39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45</w:t>
            </w:r>
          </w:p>
        </w:tc>
      </w:tr>
      <w:tr w:rsidR="00084F2F" w14:paraId="1945BA95" w14:textId="77777777">
        <w:trPr>
          <w:cantSplit/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59776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มือซ้าย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05F70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21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A0FCB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x, y, z</w:t>
            </w:r>
          </w:p>
        </w:tc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CE338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63</w:t>
            </w:r>
          </w:p>
        </w:tc>
      </w:tr>
      <w:tr w:rsidR="00084F2F" w14:paraId="65A806C7" w14:textId="77777777">
        <w:trPr>
          <w:cantSplit/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39470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มือขวา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249E7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21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A0C1E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x, y, z</w:t>
            </w:r>
          </w:p>
        </w:tc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FB5A3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63</w:t>
            </w:r>
          </w:p>
        </w:tc>
      </w:tr>
      <w:tr w:rsidR="00084F2F" w14:paraId="188F408F" w14:textId="77777777">
        <w:trPr>
          <w:cantSplit/>
          <w:jc w:val="center"/>
        </w:trPr>
        <w:tc>
          <w:tcPr>
            <w:tcW w:w="351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8F4F4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lastRenderedPageBreak/>
              <w:t>รวมต่อเฟรม</w:t>
            </w:r>
          </w:p>
        </w:tc>
        <w:tc>
          <w:tcPr>
            <w:tcW w:w="124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A2DBA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57</w:t>
            </w:r>
          </w:p>
        </w:tc>
        <w:tc>
          <w:tcPr>
            <w:tcW w:w="136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9006E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3</w:t>
            </w:r>
          </w:p>
        </w:tc>
        <w:tc>
          <w:tcPr>
            <w:tcW w:w="21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D236DB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171</w:t>
            </w:r>
          </w:p>
        </w:tc>
      </w:tr>
    </w:tbl>
    <w:p w14:paraId="4AAC6EFD" w14:textId="77777777" w:rsidR="00084F2F" w:rsidRDefault="00000000">
      <w:pPr>
        <w:pStyle w:val="af7"/>
        <w:keepLines/>
        <w:spacing w:before="0" w:after="20"/>
      </w:pPr>
      <w:r>
        <w:rPr>
          <w:b w:val="0"/>
          <w:lang w:val="th-TH" w:eastAsia="th-TH" w:bidi="th-TH"/>
        </w:rPr>
        <w:t>ตารางที่ 2.2 คุณลักษณะที่ HandVox เลือกใช้</w:t>
      </w:r>
    </w:p>
    <w:p w14:paraId="542AACDC" w14:textId="77777777" w:rsidR="00084F2F" w:rsidRDefault="00000000">
      <w:r>
        <w:rPr>
          <w:color w:val="000000"/>
          <w:lang w:val="th-TH" w:eastAsia="th-TH" w:bidi="th-TH"/>
        </w:rPr>
        <w:t>ระบบคืนค่า None เมื่อไม่พบโครงร่างท่าทางหรือไม่พบมือทั้งสองข้าง หากพบเพียงมือเดียว ระบบแทนคุณลักษณะของมือที่ไม่พบด้วยศูนย์จำนวน 63 ค่า วิธีนี้ทำให้ทุกเฟรมมีมิติเท่ากัน แต่ต้องระวังว่าศูนย์เป็นสัญลักษณ์ของข้อมูลที่หาย ไม่ใช่ตำแหน่งมือจริง</w:t>
      </w:r>
    </w:p>
    <w:p w14:paraId="043662AB" w14:textId="77777777" w:rsidR="00084F2F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/>
        <w:ind w:firstLine="0"/>
        <w:jc w:val="center"/>
      </w:pPr>
      <w:r>
        <w:rPr>
          <w:color w:val="000000"/>
          <w:sz w:val="28"/>
          <w:lang w:val="th-TH" w:eastAsia="th-TH" w:bidi="th-TH"/>
        </w:rPr>
        <w:br/>
      </w:r>
      <w:r>
        <w:rPr>
          <w:color w:val="000000"/>
          <w:sz w:val="28"/>
          <w:lang w:val="th-TH" w:eastAsia="th-TH" w:bidi="th-TH"/>
        </w:rPr>
        <w:br/>
      </w:r>
      <w:r>
        <w:rPr>
          <w:color w:val="000000"/>
          <w:sz w:val="28"/>
          <w:lang w:val="th-TH" w:eastAsia="th-TH" w:bidi="th-TH"/>
        </w:rPr>
        <w:br/>
      </w:r>
      <w:r>
        <w:rPr>
          <w:b/>
          <w:color w:val="000000"/>
          <w:sz w:val="30"/>
          <w:lang w:val="th-TH" w:eastAsia="th-TH" w:bidi="th-TH"/>
        </w:rPr>
        <w:t>[เว้นพื้นที่สำหรับภาพประกอบ]</w:t>
      </w:r>
      <w:r>
        <w:rPr>
          <w:b/>
          <w:color w:val="000000"/>
          <w:sz w:val="30"/>
          <w:lang w:val="th-TH" w:eastAsia="th-TH" w:bidi="th-TH"/>
        </w:rPr>
        <w:br/>
      </w:r>
      <w:r>
        <w:rPr>
          <w:i/>
          <w:color w:val="000000"/>
          <w:sz w:val="28"/>
          <w:lang w:val="th-TH" w:eastAsia="th-TH" w:bidi="th-TH"/>
        </w:rPr>
        <w:t>ภาพที่ต้องการ: แผนภาพบุคคลช่วงบนที่ทำเครื่องหมายจุด pose 15 จุด และจุดมือซ้าย–ขวาข้างละ 21 จุด พร้อมแยกสีของแต่ละกลุ่ม</w:t>
      </w:r>
      <w:r>
        <w:rPr>
          <w:color w:val="000000"/>
          <w:sz w:val="28"/>
          <w:lang w:val="th-TH" w:eastAsia="th-TH" w:bidi="th-TH"/>
        </w:rPr>
        <w:br/>
      </w:r>
      <w:r>
        <w:rPr>
          <w:color w:val="000000"/>
          <w:sz w:val="28"/>
          <w:lang w:val="th-TH" w:eastAsia="th-TH" w:bidi="th-TH"/>
        </w:rPr>
        <w:br/>
      </w:r>
      <w:r>
        <w:rPr>
          <w:color w:val="000000"/>
          <w:sz w:val="28"/>
          <w:lang w:val="th-TH" w:eastAsia="th-TH" w:bidi="th-TH"/>
        </w:rPr>
        <w:br/>
      </w:r>
    </w:p>
    <w:p w14:paraId="3573FF6E" w14:textId="77777777" w:rsidR="00084F2F" w:rsidRDefault="00000000">
      <w:pPr>
        <w:pStyle w:val="af7"/>
      </w:pPr>
      <w:r>
        <w:rPr>
          <w:b w:val="0"/>
          <w:lang w:val="th-TH" w:eastAsia="th-TH" w:bidi="th-TH"/>
        </w:rPr>
        <w:t>ภาพที่ 2.1 จุดสำคัญที่ HandVox เลือกใช้จาก MediaPipe Holistic</w:t>
      </w:r>
    </w:p>
    <w:p w14:paraId="3E1AF97A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2.5 การปรับมาตรฐานเชิงตำแหน่งและขนาด</w:t>
      </w:r>
    </w:p>
    <w:p w14:paraId="2BE180FB" w14:textId="77777777" w:rsidR="00084F2F" w:rsidRDefault="00000000">
      <w:r>
        <w:rPr>
          <w:color w:val="000000"/>
          <w:lang w:val="th-TH" w:eastAsia="th-TH" w:bidi="th-TH"/>
        </w:rPr>
        <w:t>พิกัดจากภาพเปลี่ยนตามตำแหน่งผู้ใช้ ระยะห่าง และขนาดตัว HandVox จึงกำหนดจุดกึ่งกลางไหล่ซ้ายและขวาเป็นจุดอ้างอิง c และใช้ระยะยูคลิดระหว่างไหล่เป็นตัวปรับขนาด s สำหรับจุด p_i พิกัดที่ปรับแล้วคำนวณเป็น p′_i = (p_i − c) / max(s, 10⁻⁶) ทั้งแกน x, y และ z</w:t>
      </w:r>
    </w:p>
    <w:p w14:paraId="051DF7DA" w14:textId="77777777" w:rsidR="00084F2F" w:rsidRDefault="00000000">
      <w:r>
        <w:rPr>
          <w:color w:val="000000"/>
          <w:lang w:val="th-TH" w:eastAsia="th-TH" w:bidi="th-TH"/>
        </w:rPr>
        <w:t>การปรับดังกล่าวลดผลจากการเลื่อนตำแหน่งและการเปลี่ยนขนาดโดยรวม แต่ไม่ทำให้ข้อมูลไม่แปรผันต่อการหมุน มุมกล้อง หรือสัดส่วนร่างกายทั้งหมด จึงยังต้องเก็บข้อมูลจากระยะ มุม และความเร็วที่หลากหลาย</w:t>
      </w:r>
    </w:p>
    <w:p w14:paraId="69BA116D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lastRenderedPageBreak/>
        <w:t>2.6 การแทนลำดับการเคลื่อนไหว</w:t>
      </w:r>
    </w:p>
    <w:p w14:paraId="223B7B62" w14:textId="77777777" w:rsidR="00084F2F" w:rsidRDefault="00000000">
      <w:r>
        <w:rPr>
          <w:color w:val="000000"/>
          <w:lang w:val="th-TH" w:eastAsia="th-TH" w:bidi="th-TH"/>
        </w:rPr>
        <w:t>หนึ่งคลิปประกอบด้วย 30 เฟรมและแต่ละเฟรมมี 171 คุณลักษณะ จึงแทนได้เป็นเมทริกซ์ขนาด 30 × 171 ก่อนฝึก ระบบเรียงค่าทุกเฟรมต่อกันเป็นเวกเตอร์ 5,130 ค่า การเรียงตามลำดับเวลาเก็บข้อมูลการเคลื่อนไหวไว้ทางอ้อม เพราะตำแหน่งของคุณลักษณะในเวกเตอร์สัมพันธ์กับลำดับเฟรม</w:t>
      </w:r>
    </w:p>
    <w:p w14:paraId="5EF930F2" w14:textId="77777777" w:rsidR="00084F2F" w:rsidRDefault="00000000">
      <w:r>
        <w:rPr>
          <w:color w:val="000000"/>
          <w:lang w:val="th-TH" w:eastAsia="th-TH" w:bidi="th-TH"/>
        </w:rPr>
        <w:t>ข้อดีของวิธีนี้คือใช้งานร่วมกับตัวจำแนกแบบดั้งเดิมได้ง่ายและฝึกได้รวดเร็วเมื่อข้อมูลมีขนาดเล็ก ข้อจำกัดคือทุกคลิปต้องมีจำนวนเฟรมเท่ากัน และแบบจำลองอาจไวต่อความเร็วหรือจังหวะที่ต่างจากข้อมูลฝึกมาก</w:t>
      </w:r>
    </w:p>
    <w:p w14:paraId="18D7A5A8" w14:textId="77777777" w:rsidR="00084F2F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/>
        <w:ind w:firstLine="0"/>
        <w:jc w:val="center"/>
      </w:pPr>
      <w:r>
        <w:rPr>
          <w:color w:val="000000"/>
          <w:sz w:val="28"/>
          <w:lang w:val="th-TH" w:eastAsia="th-TH" w:bidi="th-TH"/>
        </w:rPr>
        <w:br/>
      </w:r>
      <w:r>
        <w:rPr>
          <w:color w:val="000000"/>
          <w:sz w:val="28"/>
          <w:lang w:val="th-TH" w:eastAsia="th-TH" w:bidi="th-TH"/>
        </w:rPr>
        <w:br/>
      </w:r>
      <w:r>
        <w:rPr>
          <w:b/>
          <w:color w:val="000000"/>
          <w:sz w:val="30"/>
          <w:lang w:val="th-TH" w:eastAsia="th-TH" w:bidi="th-TH"/>
        </w:rPr>
        <w:t>[เว้นพื้นที่สำหรับภาพประกอบ]</w:t>
      </w:r>
      <w:r>
        <w:rPr>
          <w:b/>
          <w:color w:val="000000"/>
          <w:sz w:val="30"/>
          <w:lang w:val="th-TH" w:eastAsia="th-TH" w:bidi="th-TH"/>
        </w:rPr>
        <w:br/>
      </w:r>
      <w:r>
        <w:rPr>
          <w:i/>
          <w:color w:val="000000"/>
          <w:sz w:val="28"/>
          <w:lang w:val="th-TH" w:eastAsia="th-TH" w:bidi="th-TH"/>
        </w:rPr>
        <w:t>ภาพที่ต้องการ: แผนภาพเรียงภาพตัวอย่างท่าเดียวตั้งแต่เฟรมที่ 1 ถึงเฟรมที่ 30 พร้อมลูกศรแสดงลำดับเวลา และระบุ 171 คุณลักษณะต่อเฟรม</w:t>
      </w:r>
      <w:r>
        <w:rPr>
          <w:color w:val="000000"/>
          <w:sz w:val="28"/>
          <w:lang w:val="th-TH" w:eastAsia="th-TH" w:bidi="th-TH"/>
        </w:rPr>
        <w:br/>
      </w:r>
      <w:r>
        <w:rPr>
          <w:color w:val="000000"/>
          <w:sz w:val="28"/>
          <w:lang w:val="th-TH" w:eastAsia="th-TH" w:bidi="th-TH"/>
        </w:rPr>
        <w:br/>
      </w:r>
    </w:p>
    <w:p w14:paraId="23FAED88" w14:textId="77777777" w:rsidR="00084F2F" w:rsidRDefault="00000000">
      <w:pPr>
        <w:pStyle w:val="af7"/>
      </w:pPr>
      <w:r>
        <w:rPr>
          <w:b w:val="0"/>
          <w:lang w:val="th-TH" w:eastAsia="th-TH" w:bidi="th-TH"/>
        </w:rPr>
        <w:t>ภาพที่ 2.2 การแทนคลิปหนึ่งท่าเป็นลำดับ 30 เฟรม</w:t>
      </w:r>
    </w:p>
    <w:p w14:paraId="6C774987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2.7 Support Vector Machine และ RBF Kernel</w:t>
      </w:r>
    </w:p>
    <w:p w14:paraId="374CB90E" w14:textId="77777777" w:rsidR="00084F2F" w:rsidRDefault="00000000">
      <w:r>
        <w:rPr>
          <w:color w:val="000000"/>
          <w:lang w:val="th-TH" w:eastAsia="th-TH" w:bidi="th-TH"/>
        </w:rPr>
        <w:t>Support Vector Machine เป็นวิธีการเรียนรู้แบบมีผู้สอนที่สร้างขอบเขตการตัดสินใจโดยอาศัยตัวอย่างที่อยู่ใกล้ขอบเขตของคลาส แนวคิดดั้งเดิมเสนอการแปลงข้อมูลไปยังปริภูมิที่มีมิติสูงเพื่อสร้างขอบเขตที่แยกข้อมูลได้ดี (Cortes &amp; Vapnik, 1995) RBF kernel ช่วยสร้างขอบเขตไม่เชิงเส้นและเหมาะกับความสัมพันธ์ที่ซับซ้อนระหว่างตำแหน่งจุดหลายเฟรม</w:t>
      </w:r>
    </w:p>
    <w:p w14:paraId="15640F0D" w14:textId="77777777" w:rsidR="00084F2F" w:rsidRDefault="00000000">
      <w:r>
        <w:rPr>
          <w:color w:val="000000"/>
          <w:lang w:val="th-TH" w:eastAsia="th-TH" w:bidi="th-TH"/>
        </w:rPr>
        <w:t xml:space="preserve">HandVox ใช้ SVC ของ scikit-learn โดยกำหนด kernel='rbf', C=10, gamma='scale' และ probability=True ค่า C ควบคุมการแลกเปลี่ยนระหว่างขอบเขตที่กว้างกับข้อผิดพลาดบนข้อมูลฝึก ส่วน gamma กำหนดอิทธิพลของตัวอย่างต่อรูปร่างขอบเขต การเปิด probability </w:t>
      </w:r>
      <w:r>
        <w:rPr>
          <w:color w:val="000000"/>
          <w:lang w:val="th-TH" w:eastAsia="th-TH" w:bidi="th-TH"/>
        </w:rPr>
        <w:lastRenderedPageBreak/>
        <w:t>ทำให้ระบบรายงานค่าประกอบการตัดสินใจ แต่ค่าดังกล่าวไม่ควรถูกตีความเป็นการรับประกันความถูกต้องในโลกจริง</w:t>
      </w:r>
    </w:p>
    <w:p w14:paraId="3AA22BB5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2.8 การแบ่งข้อมูลและการป้องกันการรั่วไหลของข้อมูล</w:t>
      </w:r>
    </w:p>
    <w:p w14:paraId="7A738B41" w14:textId="77777777" w:rsidR="00084F2F" w:rsidRDefault="00000000">
      <w:r>
        <w:rPr>
          <w:color w:val="000000"/>
          <w:lang w:val="th-TH" w:eastAsia="th-TH" w:bidi="th-TH"/>
        </w:rPr>
        <w:t>การแบ่งชุดข้อมูลฝึกและทดสอบต้องทำก่อนประเมินผล โดยใช้ข้อมูลทดสอบเฉพาะสำหรับวัดความสามารถกับตัวอย่างที่โมเดลไม่ได้ใช้ฝึก HandVox ใช้การแบ่ง 80:20 แบบ stratified และ random_state=42 เพื่อรักษาสัดส่วนคลาสและทำซ้ำได้</w:t>
      </w:r>
    </w:p>
    <w:p w14:paraId="3DB227E9" w14:textId="77777777" w:rsidR="00084F2F" w:rsidRDefault="00000000">
      <w:r>
        <w:rPr>
          <w:color w:val="000000"/>
          <w:lang w:val="th-TH" w:eastAsia="th-TH" w:bidi="th-TH"/>
        </w:rPr>
        <w:t>อย่างไรก็ตาม คลิปที่เก็บต่อเนื่องจากผู้ทำท่าคนเดียว เซสชันเดียว และพื้นหลังเดียวอาจคล้ายกันมาก แม้จะอยู่คนละไฟล์คลิป หากสุ่มคลิประหว่างชุดฝึกและทดสอบ คะแนนอาจสะท้อนความสามารถในการจำลักษณะของเซสชันมากกว่าความสามารถกับผู้ใช้ใหม่ แนวทางที่เข้มงวดกว่าคือแบ่งตามผู้ให้ข้อมูลหรือรอบการเก็บ (grouped split) และมีชุดทดสอบภายนอกที่แยกจากกระบวนการพัฒนา</w:t>
      </w:r>
    </w:p>
    <w:p w14:paraId="76B1F3AD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2.9 ตัวชี้วัดการจำแนก</w:t>
      </w:r>
    </w:p>
    <w:p w14:paraId="23DE327B" w14:textId="77777777" w:rsidR="00084F2F" w:rsidRDefault="00000000">
      <w:r>
        <w:rPr>
          <w:color w:val="000000"/>
          <w:lang w:val="th-TH" w:eastAsia="th-TH" w:bidi="th-TH"/>
        </w:rPr>
        <w:t>Accuracy คือสัดส่วนตัวอย่างที่ทำนายถูกทั้งหมด แต่เมื่อจำนวนตัวอย่างหรือความยากของแต่ละคลาสต่างกัน ควรรายงาน precision, recall และ F1-score รายคลาส รวมถึงค่าเฉลี่ยแบบ macro ซึ่งให้น้ำหนักทุกคลาสเท่ากัน Confusion matrix ช่วยแสดงว่าท่าใดถูกสับสนกับท่าใด (Sokolova &amp; Lapalme, 2009)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2636"/>
      </w:tblGrid>
      <w:tr w:rsidR="00084F2F" w14:paraId="0B34FDF9" w14:textId="77777777">
        <w:trPr>
          <w:cantSplit/>
          <w:tblHeader/>
          <w:jc w:val="center"/>
        </w:trPr>
        <w:tc>
          <w:tcPr>
            <w:tcW w:w="1701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34B43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ตัวชี้วัด</w:t>
            </w:r>
          </w:p>
        </w:tc>
        <w:tc>
          <w:tcPr>
            <w:tcW w:w="3969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B141F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ความหมาย</w:t>
            </w:r>
          </w:p>
        </w:tc>
        <w:tc>
          <w:tcPr>
            <w:tcW w:w="2636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FA761" w14:textId="77777777" w:rsidR="00084F2F" w:rsidRDefault="00000000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8"/>
                <w:lang w:val="th-TH" w:eastAsia="th-TH" w:bidi="th-TH"/>
              </w:rPr>
              <w:t>การใช้ในโครงงาน</w:t>
            </w:r>
          </w:p>
        </w:tc>
      </w:tr>
      <w:tr w:rsidR="00084F2F" w14:paraId="3AB9F8B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FE2BF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Accuracy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A7016" w14:textId="77777777" w:rsidR="00084F2F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สัดส่วนการทำนายถูกทั้งหมด</w:t>
            </w:r>
          </w:p>
        </w:tc>
        <w:tc>
          <w:tcPr>
            <w:tcW w:w="26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AC665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ภาพรวมของชุดทดสอบ</w:t>
            </w:r>
          </w:p>
        </w:tc>
      </w:tr>
      <w:tr w:rsidR="00084F2F" w14:paraId="19388079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67CA4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Precision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846FE" w14:textId="77777777" w:rsidR="00084F2F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เมื่อระบบทำนายเป็นคลาสหนึ่ง มีสัดส่วนถูกเท่าใด</w:t>
            </w:r>
          </w:p>
        </w:tc>
        <w:tc>
          <w:tcPr>
            <w:tcW w:w="26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84694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ตรวจการทำนายเกิน</w:t>
            </w:r>
          </w:p>
        </w:tc>
      </w:tr>
      <w:tr w:rsidR="00084F2F" w14:paraId="38B7ABBF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55A3B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Recall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34CB9" w14:textId="77777777" w:rsidR="00084F2F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ตัวอย่างจริงของคลาสหนึ่งถูกพบเท่าใด</w:t>
            </w:r>
          </w:p>
        </w:tc>
        <w:tc>
          <w:tcPr>
            <w:tcW w:w="26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30D08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ตรวจการพลาดคลาส</w:t>
            </w:r>
          </w:p>
        </w:tc>
      </w:tr>
      <w:tr w:rsidR="00084F2F" w14:paraId="4A60D4B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448EEF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F1-score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C563E" w14:textId="77777777" w:rsidR="00084F2F" w:rsidRDefault="00000000">
            <w:pPr>
              <w:spacing w:after="0"/>
              <w:ind w:firstLine="0"/>
            </w:pPr>
            <w:r>
              <w:rPr>
                <w:color w:val="000000"/>
                <w:sz w:val="28"/>
                <w:lang w:val="th-TH" w:eastAsia="th-TH" w:bidi="th-TH"/>
              </w:rPr>
              <w:t>ค่าเฉลี่ยฮาร์มอนิกของ precision และ recall</w:t>
            </w:r>
          </w:p>
        </w:tc>
        <w:tc>
          <w:tcPr>
            <w:tcW w:w="26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56641" w14:textId="77777777" w:rsidR="00084F2F" w:rsidRDefault="00000000">
            <w:pPr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เปรียบเทียบรายคลาส</w:t>
            </w:r>
          </w:p>
        </w:tc>
      </w:tr>
      <w:tr w:rsidR="00084F2F" w14:paraId="615E486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DF35B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lastRenderedPageBreak/>
              <w:t>Confusion matrix</w:t>
            </w:r>
          </w:p>
        </w:tc>
        <w:tc>
          <w:tcPr>
            <w:tcW w:w="396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FDD9B4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จำนวนจริงและทำนายของทุกคู่คลาส</w:t>
            </w:r>
          </w:p>
        </w:tc>
        <w:tc>
          <w:tcPr>
            <w:tcW w:w="263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59ABF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color w:val="000000"/>
                <w:sz w:val="28"/>
                <w:lang w:val="th-TH" w:eastAsia="th-TH" w:bidi="th-TH"/>
              </w:rPr>
              <w:t>ค้นหาคู่ท่าที่สับสน</w:t>
            </w:r>
          </w:p>
        </w:tc>
      </w:tr>
    </w:tbl>
    <w:p w14:paraId="790BBDE0" w14:textId="77777777" w:rsidR="00084F2F" w:rsidRDefault="00000000">
      <w:pPr>
        <w:pStyle w:val="af7"/>
        <w:keepLines/>
        <w:spacing w:before="0" w:after="20"/>
      </w:pPr>
      <w:r>
        <w:rPr>
          <w:b w:val="0"/>
          <w:lang w:val="th-TH" w:eastAsia="th-TH" w:bidi="th-TH"/>
        </w:rPr>
        <w:t>ตารางที่ 2.3 ตัวชี้วัดที่ควรรายงาน</w:t>
      </w:r>
    </w:p>
    <w:p w14:paraId="52803841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2.10 การประมวลผลแบบเวลาจริงและเสียงพูด</w:t>
      </w:r>
    </w:p>
    <w:p w14:paraId="1BFAF573" w14:textId="77777777" w:rsidR="00084F2F" w:rsidRDefault="00000000">
      <w:r>
        <w:rPr>
          <w:color w:val="000000"/>
          <w:lang w:val="th-TH" w:eastAsia="th-TH" w:bidi="th-TH"/>
        </w:rPr>
        <w:t>ขณะใช้งาน ระบบเก็บคุณลักษณะล่าสุดในคิว 30 เฟรม เมื่อคิวเต็มจึงคำนวณความน่าจะเป็นของทุกคลาส รับเฉพาะผลที่มีค่าอย่างน้อย 0.40 และใช้ผลย้อนหลัง 3 ครั้งเพื่อเลือกคลาสที่พบมากที่สุด หากไม่พบมือเกิน 0.4 วินาที ระบบล้างคิวและสถานะ การประมวลผลนี้ช่วยลดการสั่นของหน้าจอ แต่ไม่ได้แทนการประเมินความถูกต้องของโมเดล</w:t>
      </w:r>
    </w:p>
    <w:p w14:paraId="05A6FC78" w14:textId="77777777" w:rsidR="00084F2F" w:rsidRDefault="00000000">
      <w:r>
        <w:rPr>
          <w:color w:val="000000"/>
          <w:lang w:val="th-TH" w:eastAsia="th-TH" w:bidi="th-TH"/>
        </w:rPr>
        <w:t>ผลลัพธ์สามารถเพิ่มเป็นประโยคด้วยแป้นพิมพ์และส่งให้ gTTS สร้างเสียงภาษาไทย โดย pygame เล่นไฟล์เสียงที่สร้างชั่วคราว TTS เป็นช่องทางนำเสนอผล ไม่ได้มีส่วนในการรู้จำท่าทาง และต้องใช้อินเทอร์เน็ตในขณะสร้างเสียงตามการติดตั้งปัจจุบัน</w:t>
      </w:r>
    </w:p>
    <w:p w14:paraId="72304A34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2.11 งานและแนวคิดที่เกี่ยวข้อง</w:t>
      </w:r>
    </w:p>
    <w:tbl>
      <w:tblPr>
        <w:tblStyle w:val="aff2"/>
        <w:tblW w:w="8306" w:type="dxa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2920"/>
      </w:tblGrid>
      <w:tr w:rsidR="00084F2F" w14:paraId="17A2B6E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B9916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แหล่งอ้างอิง</w:t>
            </w:r>
          </w:p>
        </w:tc>
        <w:tc>
          <w:tcPr>
            <w:tcW w:w="3118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CC5ED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ประเด็นสำคัญ</w:t>
            </w:r>
          </w:p>
        </w:tc>
        <w:tc>
          <w:tcPr>
            <w:tcW w:w="2920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1BBE9" w14:textId="77777777" w:rsidR="00084F2F" w:rsidRDefault="00000000" w:rsidP="00202467">
            <w:pPr>
              <w:keepNext/>
              <w:spacing w:after="0"/>
              <w:ind w:firstLine="0"/>
              <w:jc w:val="center"/>
            </w:pPr>
            <w:r>
              <w:rPr>
                <w:b/>
                <w:color w:val="000000"/>
                <w:sz w:val="26"/>
                <w:lang w:val="th-TH" w:eastAsia="th-TH" w:bidi="th-TH"/>
              </w:rPr>
              <w:t>ความสัมพันธ์กับ HandVox</w:t>
            </w:r>
          </w:p>
        </w:tc>
      </w:tr>
      <w:tr w:rsidR="00084F2F" w14:paraId="60C66DE8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0A7C5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Cortes &amp; Vapnik (1995)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10C35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หลักการ Support Vector Networks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E065A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ฐานของตัวจำแนก SVM</w:t>
            </w:r>
          </w:p>
        </w:tc>
      </w:tr>
      <w:tr w:rsidR="00084F2F" w14:paraId="5D9B901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33480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Zhang et al. (2020)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1D675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การติดตามโครงร่างมือ 21 จุดแบบเวลาจริง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7D3D0B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ฐานของคุณลักษณะมือ</w:t>
            </w:r>
          </w:p>
        </w:tc>
      </w:tr>
      <w:tr w:rsidR="00084F2F" w14:paraId="37C19FA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45618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Yu et al. (2022)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79AFB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ทบทวนงานรู้จำระดับท่าทาง คำแยก และประโยคต่อเนื่อง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54DE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ใช้กำหนดขอบเขตการกล่าวอ้าง</w:t>
            </w:r>
          </w:p>
        </w:tc>
      </w:tr>
      <w:tr w:rsidR="00084F2F" w14:paraId="580A49B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162C00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Sarhan &amp; Frintrop (2023)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2B22C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สำรวจการรู้จำภาษามือแบบแยกคำและชุดข้อมูล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A2855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ใช้วิเคราะห์ข้อจำกัดด้านผู้ทำท่าและข้อมูล</w:t>
            </w:r>
          </w:p>
        </w:tc>
      </w:tr>
      <w:tr w:rsidR="00084F2F" w14:paraId="65E2A0E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B405C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Chalotonpised et al. (2026)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0D074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ชุดข้อมูลภาษามือไทยระดับคำจากหลายผู้ทำท่า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9D379" w14:textId="77777777" w:rsidR="00084F2F" w:rsidRDefault="00000000" w:rsidP="00202467">
            <w:pPr>
              <w:spacing w:after="0"/>
              <w:ind w:firstLine="0"/>
              <w:jc w:val="center"/>
            </w:pPr>
            <w:r>
              <w:rPr>
                <w:color w:val="000000"/>
                <w:sz w:val="26"/>
                <w:lang w:val="th-TH" w:eastAsia="th-TH" w:bidi="th-TH"/>
              </w:rPr>
              <w:t>ใช้เปรียบเทียบขนาดข้อมูลและการทดสอบแบบ signer-independent</w:t>
            </w:r>
          </w:p>
        </w:tc>
      </w:tr>
      <w:tr w:rsidR="00084F2F" w14:paraId="37A6430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46104" w14:textId="77777777" w:rsidR="00084F2F" w:rsidRDefault="00000000" w:rsidP="00B47816">
            <w:pPr>
              <w:keepNext/>
              <w:spacing w:after="0"/>
              <w:ind w:firstLine="0"/>
              <w:jc w:val="both"/>
            </w:pPr>
            <w:r w:rsidRPr="00B47816">
              <w:rPr>
                <w:color w:val="000000"/>
                <w:sz w:val="26"/>
                <w:lang w:eastAsia="th-TH" w:bidi="th-TH"/>
              </w:rPr>
              <w:lastRenderedPageBreak/>
              <w:t>Google AI Edge (n.d.)</w:t>
            </w:r>
          </w:p>
        </w:tc>
        <w:tc>
          <w:tcPr>
            <w:tcW w:w="311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AA3C7" w14:textId="77777777" w:rsidR="00084F2F" w:rsidRDefault="00000000" w:rsidP="00B47816">
            <w:pPr>
              <w:keepNext/>
              <w:spacing w:after="0"/>
              <w:ind w:firstLine="0"/>
              <w:jc w:val="both"/>
            </w:pPr>
            <w:r>
              <w:rPr>
                <w:color w:val="000000"/>
                <w:sz w:val="26"/>
                <w:lang w:val="th-TH" w:eastAsia="th-TH" w:bidi="th-TH"/>
              </w:rPr>
              <w:t>MediaPipe Holistic สำหรับจุดร่างกาย ใบหน้า และมือ</w:t>
            </w:r>
          </w:p>
        </w:tc>
        <w:tc>
          <w:tcPr>
            <w:tcW w:w="292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9F484" w14:textId="77777777" w:rsidR="00084F2F" w:rsidRDefault="00000000" w:rsidP="00B47816">
            <w:pPr>
              <w:keepNext/>
              <w:spacing w:after="0"/>
              <w:ind w:firstLine="0"/>
              <w:jc w:val="both"/>
            </w:pPr>
            <w:r>
              <w:rPr>
                <w:color w:val="000000"/>
                <w:sz w:val="26"/>
                <w:lang w:val="th-TH" w:eastAsia="th-TH" w:bidi="th-TH"/>
              </w:rPr>
              <w:t>กระบวนการตรวจหาจุดของระบบ</w:t>
            </w:r>
          </w:p>
        </w:tc>
      </w:tr>
    </w:tbl>
    <w:p w14:paraId="0065F335" w14:textId="77777777" w:rsidR="00084F2F" w:rsidRDefault="00000000">
      <w:pPr>
        <w:pStyle w:val="af7"/>
        <w:keepLines/>
        <w:spacing w:before="0" w:after="20"/>
      </w:pPr>
      <w:r>
        <w:rPr>
          <w:b w:val="0"/>
          <w:lang w:val="th-TH" w:eastAsia="th-TH" w:bidi="th-TH"/>
        </w:rPr>
        <w:t>ตารางที่ 2.4 งานและแนวคิดที่เกี่ยวข้อง</w:t>
      </w:r>
    </w:p>
    <w:p w14:paraId="622FEA4E" w14:textId="77777777" w:rsidR="00084F2F" w:rsidRDefault="00000000">
      <w:r>
        <w:rPr>
          <w:color w:val="000000"/>
          <w:lang w:val="th-TH" w:eastAsia="th-TH" w:bidi="th-TH"/>
        </w:rPr>
        <w:t>งาน TSL-ONE-S รายงานชุดข้อมูลภาษามือไทยระดับคำ 4,152 วิดีโอ ครอบคลุม 184 คำ จากผู้ทำท่า 29 คน และประเมินแบบแยกผู้ทำท่า (signer-independent) (Chalotonpised et al., 2026) งานดังกล่าวชี้ให้เห็นความสำคัญของความหลากหลายด้านบุคคลและสภาพแวดล้อม ดังนั้นชุดข้อมูล 120 คลิปจาก 4 ท่าของ HandVox ควรถูกอธิบายว่าเป็นชุดข้อมูลต้นแบบภายในโครงงาน ไม่ใช่หลักฐานความสามารถทั่วไปของระบบ</w:t>
      </w:r>
    </w:p>
    <w:p w14:paraId="633C9910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2.12 ความน่าเชื่อถือ จริยธรรม และการเข้าถึง</w:t>
      </w:r>
    </w:p>
    <w:p w14:paraId="26C8E42A" w14:textId="77777777" w:rsidR="00084F2F" w:rsidRDefault="00000000">
      <w:r>
        <w:rPr>
          <w:color w:val="000000"/>
          <w:lang w:val="th-TH" w:eastAsia="th-TH" w:bidi="th-TH"/>
        </w:rPr>
        <w:t>ข้อมูลท่าทางอาจเกี่ยวข้องกับอัตลักษณ์ การเคลื่อนไหว และสภาพแวดล้อมของผู้ให้ข้อมูล การเก็บข้อมูลจากบุคคลจึงควรแจ้งวัตถุประสงค์ ขอความยินยอม จำกัดการใช้ และเก็บเฉพาะข้อมูลที่จำเป็น โครงงานปัจจุบันจัดเก็บจุดสำคัญและป้ายกำกับในไฟล์ NPZ ไม่ได้บันทึกวิดีโอต้นฉบับเป็นชุดข้อมูล แต่ภาพจากกล้องยังถูกประมวลผลในหน่วยความจำระหว่างเก็บและใช้งาน</w:t>
      </w:r>
    </w:p>
    <w:p w14:paraId="03E5E193" w14:textId="77777777" w:rsidR="00084F2F" w:rsidRDefault="00000000">
      <w:r>
        <w:rPr>
          <w:color w:val="000000"/>
          <w:lang w:val="th-TH" w:eastAsia="th-TH" w:bidi="th-TH"/>
        </w:rPr>
        <w:t>ระบบควรรายงานข้อจำกัดอย่างชัดเจน ไม่อ้างว่าสามารถแทนล่ามหรือรองรับภาษามือไทยทั้งหมด และควรประเมินกับผู้ใช้หลายคนก่อนใช้งานจริง การออกแบบส่วนติดต่อควรแสดงผลที่อ่านง่าย มีทางเลือกข้อความเมื่อเสียงใช้ไม่ได้ และให้ผู้ใช้แก้ไขหรือลบคำที่ระบบทำนายผิด</w:t>
      </w:r>
    </w:p>
    <w:p w14:paraId="250B6E5D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2.13 บทสรุป</w:t>
      </w:r>
    </w:p>
    <w:p w14:paraId="4295B4D6" w14:textId="77777777" w:rsidR="00084F2F" w:rsidRDefault="00000000">
      <w:r>
        <w:rPr>
          <w:color w:val="000000"/>
          <w:lang w:val="th-TH" w:eastAsia="th-TH" w:bidi="th-TH"/>
        </w:rPr>
        <w:t xml:space="preserve">HandVox เป็นระบบรู้จำท่าทางภาษามือแบบแยกคำจากลำดับ 30 เฟรม โดยใช้ MediaPipe Holistic สกัด 171 คุณลักษณะต่อเฟรม ปรับมาตรฐานด้วยตำแหน่งและระยะไหล่ เรียงเป็นเวกเตอร์ 5,130 ค่า และจำแนกด้วย SVM แบบ RBF แนวทางนี้เหมาะกับต้นแบบข้อมูลขนาดเล็กและตรวจสอบกระบวนการได้ง่าย </w:t>
      </w:r>
      <w:r>
        <w:rPr>
          <w:color w:val="000000"/>
          <w:lang w:val="th-TH" w:eastAsia="th-TH" w:bidi="th-TH"/>
        </w:rPr>
        <w:lastRenderedPageBreak/>
        <w:t>แต่ยังต้องควบคุมการรั่วไหลของข้อมูล ทดสอบกับผู้ทำท่าและสภาพแวดล้อมใหม่ และจำกัดการกล่าวอ้างให้ตรงกับการรู้จำแบบแยกคำ</w:t>
      </w:r>
    </w:p>
    <w:p w14:paraId="0447416C" w14:textId="77777777" w:rsidR="00084F2F" w:rsidRDefault="00000000">
      <w:pPr>
        <w:pStyle w:val="1"/>
      </w:pPr>
      <w:r>
        <w:rPr>
          <w:rFonts w:ascii="TH Sarabun New" w:eastAsia="TH Sarabun New" w:hAnsi="TH Sarabun New" w:cs="TH Sarabun New"/>
          <w:lang w:val="th-TH" w:eastAsia="th-TH" w:bidi="th-TH"/>
        </w:rPr>
        <w:t>รายการอ้างอิงของบท</w:t>
      </w:r>
    </w:p>
    <w:p w14:paraId="3CA5913E" w14:textId="77777777" w:rsidR="00084F2F" w:rsidRDefault="00000000">
      <w:pPr>
        <w:spacing w:after="60" w:line="240" w:lineRule="auto"/>
        <w:ind w:left="709" w:hanging="709"/>
      </w:pPr>
      <w:r>
        <w:rPr>
          <w:color w:val="000000"/>
          <w:sz w:val="28"/>
          <w:lang w:val="th-TH" w:eastAsia="th-TH" w:bidi="th-TH"/>
        </w:rPr>
        <w:t xml:space="preserve">Bradski, G. (2000). </w:t>
      </w:r>
      <w:r w:rsidRPr="00B47816">
        <w:rPr>
          <w:color w:val="000000"/>
          <w:sz w:val="28"/>
          <w:lang w:eastAsia="th-TH" w:bidi="th-TH"/>
        </w:rPr>
        <w:t>The OpenCV Library. Dr. Dobb’s Journal of Software Tools.</w:t>
      </w:r>
    </w:p>
    <w:p w14:paraId="36C1DC87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Cortes, C., &amp; Vapnik, V. (1995). Support-vector networks. Machine Learning, 20, 273–297. https://doi.org/10.1007/BF00994018</w:t>
      </w:r>
    </w:p>
    <w:p w14:paraId="4635FB30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Chalotonpised, J., Chen, W. H., Vijitkunsawat, W., &amp; Lin, Y. C. (2026). TSL-ONE-S: A real-world Thai sign language dataset with deep learning benchmarks. IEEE Access, 14, 37845–37870. https://doi.org/10.1109/ACCESS.2026.3670970</w:t>
      </w:r>
    </w:p>
    <w:p w14:paraId="1FF2399B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Google AI Edge. (n.d.). Holistic landmarks detection task guide. Retrieved August 1, 2026, from https://developers.google.com/edge/mediapipe/solutions/vision/holistic_landmarker</w:t>
      </w:r>
    </w:p>
    <w:p w14:paraId="2A98A8A1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Pedregosa, F., Varoquaux, G., Gramfort, A., Michel, V., Thirion, B., Grisel, O., Blondel, M., Prettenhofer, P., Weiss, R., Dubourg, V., Vanderplas, J., Passos, A., Cournapeau, D., Brucher, M., Perrot, M., &amp; Duchesnay, E. (2011). Scikit-learn: Machine learning in Python. Journal of Machine Learning Research, 12(85), 2825–2830.</w:t>
      </w:r>
    </w:p>
    <w:p w14:paraId="3D8A009B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Sarhan, N., &amp; Frintrop, S. (2023). Unraveling a decade: A comprehensive survey on isolated sign language recognition. Proceedings of the IEEE/CVF International Conference on Computer Vision Workshops, 3210–3219. https://openaccess.thecvf.com/content/ICCV2023W/AMFG/html/Sarhan_Unraveling_a_Decade_A_Comprehensive_Survey_on_Isolated_Sign_Language_ICCVW_2023_paper.html</w:t>
      </w:r>
    </w:p>
    <w:p w14:paraId="72460529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Sokolova, M., &amp; Lapalme, G. (2009). A systematic analysis of performance measures for classification tasks. Information Processing &amp; Management, 45(4), 427–437. https://doi.org/10.1016/j.ipm.2009.03.002</w:t>
      </w:r>
    </w:p>
    <w:p w14:paraId="0340E159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Yu, M., Jia, J., Xue, C., Yan, G., Guo, Y., &amp; Liu, Y. (2022). A review of sign language recognition research. Journal of Intelligent &amp; Fuzzy Systems, 43(4), 3879–3898. https://doi.org/10.3233/JIFS-210050</w:t>
      </w:r>
    </w:p>
    <w:p w14:paraId="6B11B2BA" w14:textId="77777777" w:rsidR="00084F2F" w:rsidRDefault="00000000">
      <w:pPr>
        <w:spacing w:after="60" w:line="240" w:lineRule="auto"/>
        <w:ind w:left="709" w:hanging="709"/>
      </w:pPr>
      <w:r w:rsidRPr="00B47816">
        <w:rPr>
          <w:color w:val="000000"/>
          <w:sz w:val="28"/>
          <w:lang w:eastAsia="th-TH" w:bidi="th-TH"/>
        </w:rPr>
        <w:t>Zhang, F., Bazarevsky, V., Vakunov, A., Tkachenka, A., Sung, G., Chang, C.-L., &amp; Grundmann, M. (2020). MediaPipe Hands: On-device real-time hand tracking. arXiv:2006.10214. https://doi.org/10.48550/arXiv.2006.10214</w:t>
      </w:r>
    </w:p>
    <w:sectPr w:rsidR="00084F2F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160" w:right="1440" w:bottom="1440" w:left="2160" w:header="709" w:footer="709" w:gutter="0"/>
      <w:pgNumType w:start="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69CA9" w14:textId="77777777" w:rsidR="00A34579" w:rsidRDefault="00A34579">
      <w:pPr>
        <w:spacing w:after="0" w:line="240" w:lineRule="auto"/>
      </w:pPr>
      <w:r>
        <w:separator/>
      </w:r>
    </w:p>
  </w:endnote>
  <w:endnote w:type="continuationSeparator" w:id="0">
    <w:p w14:paraId="6DB640EB" w14:textId="77777777" w:rsidR="00A34579" w:rsidRDefault="00A34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13F29" w14:textId="77777777" w:rsidR="00084F2F" w:rsidRDefault="00084F2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40ECC" w14:textId="77777777" w:rsidR="00084F2F" w:rsidRDefault="00084F2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9571" w14:textId="77777777" w:rsidR="00A34579" w:rsidRDefault="00A34579">
      <w:pPr>
        <w:spacing w:after="0" w:line="240" w:lineRule="auto"/>
      </w:pPr>
      <w:r>
        <w:separator/>
      </w:r>
    </w:p>
  </w:footnote>
  <w:footnote w:type="continuationSeparator" w:id="0">
    <w:p w14:paraId="74264984" w14:textId="77777777" w:rsidR="00A34579" w:rsidRDefault="00A34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C4BA0" w14:textId="77777777" w:rsidR="00084F2F" w:rsidRDefault="00000000">
    <w:pPr>
      <w:pStyle w:val="a5"/>
      <w:jc w:val="right"/>
    </w:pPr>
    <w:r>
      <w:rPr>
        <w:color w:val="000000"/>
        <w:sz w:val="28"/>
        <w:lang w:val="th-TH" w:eastAsia="th-TH" w:bidi="th-TH"/>
      </w:rPr>
      <w:fldChar w:fldCharType="begin"/>
    </w:r>
    <w:r>
      <w:rPr>
        <w:color w:val="000000"/>
        <w:sz w:val="28"/>
        <w:lang w:val="th-TH" w:eastAsia="th-TH" w:bidi="th-TH"/>
      </w:rPr>
      <w:instrText xml:space="preserve"> PAGE </w:instrText>
    </w:r>
    <w:r>
      <w:rPr>
        <w:color w:val="000000"/>
        <w:sz w:val="28"/>
        <w:lang w:val="th-TH" w:eastAsia="th-TH" w:bidi="th-TH"/>
      </w:rPr>
      <w:fldChar w:fldCharType="separate"/>
    </w:r>
    <w:r>
      <w:rPr>
        <w:color w:val="000000"/>
        <w:sz w:val="28"/>
        <w:lang w:val="th-TH" w:eastAsia="th-TH" w:bidi="th-TH"/>
      </w:rPr>
      <w:t>1</w:t>
    </w:r>
    <w:r>
      <w:rPr>
        <w:color w:val="000000"/>
        <w:sz w:val="28"/>
        <w:lang w:val="th-TH" w:eastAsia="th-TH" w:bidi="th-TH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1E76" w14:textId="77777777" w:rsidR="00084F2F" w:rsidRDefault="00084F2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426930">
    <w:abstractNumId w:val="8"/>
  </w:num>
  <w:num w:numId="2" w16cid:durableId="549343143">
    <w:abstractNumId w:val="6"/>
  </w:num>
  <w:num w:numId="3" w16cid:durableId="36778132">
    <w:abstractNumId w:val="5"/>
  </w:num>
  <w:num w:numId="4" w16cid:durableId="764613469">
    <w:abstractNumId w:val="4"/>
  </w:num>
  <w:num w:numId="5" w16cid:durableId="368728169">
    <w:abstractNumId w:val="7"/>
  </w:num>
  <w:num w:numId="6" w16cid:durableId="794325710">
    <w:abstractNumId w:val="3"/>
  </w:num>
  <w:num w:numId="7" w16cid:durableId="1946888248">
    <w:abstractNumId w:val="2"/>
  </w:num>
  <w:num w:numId="8" w16cid:durableId="1882788095">
    <w:abstractNumId w:val="1"/>
  </w:num>
  <w:num w:numId="9" w16cid:durableId="35484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F2F"/>
    <w:rsid w:val="0015074B"/>
    <w:rsid w:val="00202467"/>
    <w:rsid w:val="0029639D"/>
    <w:rsid w:val="00326F90"/>
    <w:rsid w:val="005A0B79"/>
    <w:rsid w:val="009419C2"/>
    <w:rsid w:val="00A34579"/>
    <w:rsid w:val="00AA1D8D"/>
    <w:rsid w:val="00B47730"/>
    <w:rsid w:val="00B478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758C7"/>
  <w14:defaultImageDpi w14:val="300"/>
  <w15:docId w15:val="{0803D16C-69F0-4B84-9FC7-7D953C107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  <w:ind w:firstLine="709"/>
    </w:pPr>
    <w:rPr>
      <w:rFonts w:ascii="TH Sarabun New" w:eastAsia="TH Sarabun New" w:hAnsi="TH Sarabun New" w:cs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6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left="709"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Next/>
      <w:spacing w:before="60" w:after="120" w:line="240" w:lineRule="auto"/>
      <w:ind w:firstLine="0"/>
      <w:jc w:val="center"/>
    </w:pPr>
    <w:rPr>
      <w:b/>
      <w:bCs/>
      <w:color w:val="000000"/>
      <w:sz w:val="2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Kurumi Tokisaki</cp:lastModifiedBy>
  <cp:revision>4</cp:revision>
  <dcterms:created xsi:type="dcterms:W3CDTF">2013-12-23T23:15:00Z</dcterms:created>
  <dcterms:modified xsi:type="dcterms:W3CDTF">2026-08-11T04:20:00Z</dcterms:modified>
  <cp:category/>
</cp:coreProperties>
</file>