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H Sarabun New" w:hAnsi="TH Sarabun New" w:eastAsia="TH Sarabun New" w:cs="TH Sarabun New"/>
          <w:b/>
          <w:color w:val="000000"/>
          <w:sz w:val="40"/>
          <w:szCs w:val="40"/>
          <w:lang w:val="th-TH" w:eastAsia="th-TH" w:bidi="th-TH"/>
        </w:rPr>
        <w:t>เอกสารอ้างอิงสำหรับบทที่ 1</w:t>
      </w:r>
    </w:p>
    <w:p>
      <w:pPr>
        <w:widowControl/>
        <w:ind w:firstLine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</w:rPr>
        <w:t>ไฟล์นี้แยกเก็บแหล่งอ้างอิงสำหรับนำไปรวมในส่วนท้ายของรายงานฉบับสมบูรณ์ โดยแยกเอกสารประกอบการเขียนออกจากหลักฐานของระบบ HandVox เพื่อสะดวกต่อการตรวจสอบ</w:t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000000"/>
          <w:sz w:val="32"/>
          <w:szCs w:val="32"/>
          <w:lang w:val="th-TH" w:eastAsia="th-TH" w:bidi="th-TH"/>
        </w:rPr>
        <w:t>เอกสารประกอบและแหล่งข้อมูลทางวิชาการ</w:t>
      </w:r>
    </w:p>
    <w:p>
      <w:pPr>
        <w:widowControl/>
        <w:ind w:firstLine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</w:rPr>
        <w:t>เจตณัฐ มหาศักดิ์ศิริ, ณัฐดนัย หายทุกข์ และอนัญลักษณ์ มหาสุวรรณ์. (2565). โปรแกรมแปลภาษามืออัตโนมัติ (Hand Sign Detection for Thai Sign Language). ปริญญานิพนธ์วิศวกรรมศาสตรบัณฑิต ภาควิชาวิศวกรรมอิเล็กทรอนิกส์ สถาบันเทคโนโลยีพระจอมเกล้าเจ้าคุณทหารลาดกระบัง. ใช้บทที่ 1 หน้า 1–2 เป็นตัวอย่างลักษณะการเรียบเรียงและตารางแผนงาน ไม่ได้นำจำนวนท่าหรือผลคะแนนมาใช้เป็นข้อมูลของ HandVox</w:t>
      </w:r>
    </w:p>
    <w:p>
      <w:pPr>
        <w:widowControl/>
        <w:ind w:firstLine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</w:rPr>
        <w:t>คณะวิทยาการจัดการและเทคโนโลยีสารสนเทศ มหาวิทยาลัยนครพนม. (ม.ป.ป.). คู่มือรูปแบบการเขียนรายงานโครงงานฉบับสมบูรณ์. ไฟล์ที่ผู้ใช้ให้ชื่อ รูปแบบโครงงาน(ใหม่) (1).pdf. ใช้แนวทางหน้ากระดาษ ระยะขอบ และขนาดตัวอักษร โดยลำดับหัวข้อใช้ตามคำขอล่าสุดของผู้ใช้</w:t>
      </w:r>
    </w:p>
    <w:p>
      <w:pPr>
        <w:widowControl/>
        <w:ind w:firstLine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</w:rPr>
        <w:t>Bai, S., Kolter, J. Z., &amp; Koltun, V. (2018). An Empirical Evaluation of Generic Convolutional and Recurrent Networks for Sequence Modeling. arXiv:1803.01271. https://arxiv.org/abs/1803.01271 (สืบค้น 23 กันยายน 2569). ใช้ประกอบคำอธิบาย TCN ในข้อ 1.1, 1.3.3 และ 1.6 ไม่ใช้ยืนยันคะแนนของ HandVox</w:t>
      </w:r>
    </w:p>
    <w:p>
      <w:pPr>
        <w:widowControl/>
        <w:ind w:firstLine="0"/>
      </w:pPr>
      <w:r>
        <w:rPr>
          <w:rFonts w:ascii="TH Sarabun New" w:hAnsi="TH Sarabun New" w:eastAsia="TH Sarabun New" w:cs="TH Sarabun New"/>
          <w:b w:val="0"/>
          <w:color w:val="000000"/>
          <w:sz w:val="32"/>
          <w:szCs w:val="32"/>
          <w:lang w:val="th-TH" w:eastAsia="th-TH" w:bidi="th-TH"/>
        </w:rPr>
        <w:t>MediaPipe. (ม.ป.ป.). Holistic. https://chuoling.github.io/mediapipe/solutions/holistic.html (สืบค้น 23 กันยายน 2569). ใช้ประกอบหน้าที่ของ MediaPipe Holistic และข้อมูลจุดสำคัญในข้อ 1.1 และ 1.3.3</w:t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color w:val="000000"/>
          <w:sz w:val="32"/>
          <w:szCs w:val="32"/>
          <w:lang w:val="th-TH" w:eastAsia="th-TH" w:bidi="th-TH"/>
        </w:rPr>
        <w:t>หลักฐานภายในโครงงานสำหรับตรวจสอบข้อมูล</w:t>
      </w:r>
    </w:p>
    <w:p>
      <w:pPr>
        <w:widowControl/>
        <w:ind w:firstLine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</w:rPr>
        <w:t>model_manifest.json: ยืนยันว่าแบบจำลองที่ตรวจสอบเป็น temporal_tcn ใช้ลำดับข้อมูล 30 เฟรม มีคำศัพท์ 17 คำและกลุ่มภายใน 2 กลุ่ม รวม 19 กลุ่ม อ้างอิงรุ่นทดลอง 20260915_061512_537476</w:t>
      </w:r>
    </w:p>
    <w:p>
      <w:pPr>
        <w:widowControl/>
        <w:ind w:firstLine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</w:rPr>
        <w:t>training_config.json และ TRAINING_GUIDE.md: ยืนยันแผนผู้ทำท่า 2 คน การถ่าย 4 รอบ จำนวนเป้าหมาย 16 คลิปต่อคนต่อกลุ่ม และการประเมินแบบแยกรอบถ่าย</w:t>
      </w:r>
    </w:p>
    <w:p>
      <w:pPr>
        <w:widowControl/>
        <w:ind w:firstLine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</w:rPr>
        <w:t>experiments/20260915_061512_537476/report.md: ยืนยันคลิป accepted จำนวน 654 คลิป และการประเมินแยกรอบถ่าย 4 รอบ ผลรุ่นนี้ยังไม่ผ่านเกณฑ์ทุกข้อ จึงไม่เขียนบทนำเสมือนระบบผ่านการรับรองแล้ว</w:t>
      </w:r>
    </w:p>
    <w:p>
      <w:pPr>
        <w:widowControl/>
        <w:ind w:firstLine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</w:rPr>
        <w:t>experiments/20260915_061512_537476/external_evaluations/20260923_013726_285774_91def9df/report.md: มีการประเมิน person_03 แล้ว แต่ 228 จาก 306 คลิปยังเป็น pending จึงระบุว่าต้องแยกผลเบื้องต้นออกจากผลที่ตรวจคุณภาพครบ</w:t>
      </w:r>
    </w:p>
    <w:p>
      <w:pPr>
        <w:widowControl/>
        <w:ind w:firstLine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</w:rPr>
        <w:t>README.md, handvox/feature_pipeline.py, handvox/temporal_model.py และ requirements.txt: ใช้ตรวจความสามารถของหน้าจอ กระบวนการข้อมูล แบบจำลอง และเครื่องมือที่ใช้ โดยรายการคำศัพท์ยึด model_manifest.json เนื่องจากบางส่วนของ README ยังระบุจำนวนคำรุ่นก่อน</w:t>
      </w:r>
    </w:p>
    <w:p>
      <w:pPr>
        <w:widowControl/>
        <w:ind w:firstLine="0"/>
      </w:pPr>
      <w:r>
        <w:rPr>
          <w:rFonts w:ascii="TH Sarabun New" w:hAnsi="TH Sarabun New" w:eastAsia="TH Sarabun New" w:cs="TH Sarabun New"/>
          <w:b w:val="0"/>
          <w:color w:val="000000"/>
          <w:sz w:val="28"/>
          <w:szCs w:val="28"/>
          <w:lang w:val="th-TH" w:eastAsia="th-TH" w:bidi="th-TH"/>
        </w:rPr>
        <w:t>ผลลัพธ์เอกสาร/บทที่ 1.docx: ใช้ช่วงเดือนมิถุนายนถึงตุลาคมจากแผนเดิมเป็นกรอบเบื้องต้นเท่านั้น เอกสารเดิมไม่ได้ระบุปีของแผนอย่างชัดเจน</w:t>
      </w:r>
    </w:p>
    <w:p>
      <w:pPr>
        <w:pStyle w:val="Heading1"/>
      </w:pPr>
      <w:r>
        <w:rPr>
          <w:rFonts w:ascii="TH SarabunPSK" w:eastAsia="TH Sarabun New" w:hAnsi="TH SarabunPSK" w:cs="TH SarabunPSK" w:hint="cs"/>
          <w:b/>
          <w:szCs w:val="32"/>
        </w:rPr>
        <w:t>แหล่งตรวจสอบนิยามศัพท์เพิ่มเติม</w:t>
      </w:r>
    </w:p>
    <w:p>
      <w:pPr>
        <w:spacing w:after="160"/>
      </w:pPr>
      <w:r>
        <w:rPr>
          <w:rFonts w:ascii="TH SarabunPSK" w:eastAsia="TH Sarabun New" w:hAnsi="TH SarabunPSK" w:cs="TH SarabunPSK" w:hint="cs"/>
          <w:b w:val="0"/>
          <w:szCs w:val="32"/>
        </w:rPr>
        <w:t>scikit-learn developers. (ม.ป.ป.). precision_recall_fscore_support. https://scikit-learn.org/stable/modules/generated/sklearn.metrics.precision_recall_fscore_support.html (สืบค้น 23 กันยายน 2569). ใช้ตรวจสอบความหมายของ Precision, Recall, F1-score, Support และการเฉลี่ยแบบ Macro กับ Weighted</w:t>
      </w:r>
    </w:p>
    <w:p>
      <w:pPr>
        <w:spacing w:after="160"/>
      </w:pPr>
      <w:r>
        <w:rPr>
          <w:rFonts w:ascii="TH SarabunPSK" w:eastAsia="TH Sarabun New" w:hAnsi="TH SarabunPSK" w:cs="TH SarabunPSK" w:hint="cs"/>
          <w:b w:val="0"/>
          <w:szCs w:val="32"/>
        </w:rPr>
        <w:t>scikit-learn developers. (ม.ป.ป.). confusion_matrix. https://scikit-learn.org/stable/modules/generated/sklearn.metrics.confusion_matrix.html (สืบค้น 23 กันยายน 2569). ใช้ตรวจสอบการอ่านแถวและคอลัมน์ของตารางความสับสน</w:t>
      </w:r>
    </w:p>
    <w:p>
      <w:pPr>
        <w:spacing w:after="160"/>
      </w:pPr>
      <w:r>
        <w:rPr>
          <w:rFonts w:ascii="TH SarabunPSK" w:eastAsia="TH Sarabun New" w:hAnsi="TH SarabunPSK" w:cs="TH SarabunPSK" w:hint="cs"/>
          <w:b w:val="0"/>
          <w:szCs w:val="32"/>
        </w:rPr>
        <w:t>หลักฐานการใช้ศัพท์ใน HandVox ได้แก่ TRAINING_GUIDE.md, handvox/training_workflow.py ฟังก์ชัน _metric_payload, handvox/external_evaluation.py ฟังก์ชัน _external_metrics และ experiments/20260915_061512_537476/metrics.json ซึ่งมี Macro Recall, Macro F1 และ Weighted F1 จริง รวมทั้ง README.md และ requirements.txt สำหรับเครื่องมือที่ใช้</w:t>
      </w:r>
    </w:p>
    <w:p>
      <w:pPr>
        <w:spacing w:after="160"/>
      </w:pPr>
      <w:r>
        <w:rPr>
          <w:rFonts w:ascii="TH SarabunPSK" w:eastAsia="TH Sarabun New" w:hAnsi="TH SarabunPSK" w:cs="TH SarabunPSK" w:hint="cs"/>
          <w:b w:val="0"/>
          <w:szCs w:val="32"/>
        </w:rPr>
        <w:t>นิยามตัวชี้วัดอธิบายวิธีอ่านผล ไม่ใช่การเพิ่มผลการทดลองใหม่ การประเมินผู้ทำท่าคนใหม่คำนวณค่า Macro จากรายกลุ่มของแบบจำลอง ส่วนการตีความผลต้องอ้างอิงชุดข้อมูลและรายชื่อกลุ่มของการทดลองนั้น</w:t>
      </w:r>
    </w:p>
    <w:sectPr w:rsidR="00FC693F" w:rsidRPr="0006063C" w:rsidSect="00034616">
      <w:headerReference w:type="default" r:id="rId9"/>
      <w:pgSz w:w="11906" w:h="16838"/>
      <w:pgMar w:top="2160" w:right="1440" w:bottom="1440" w:left="2160" w:header="96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color w:val="000000"/>
        <w:sz w:val="28"/>
        <w:szCs w:val="28"/>
        <w:lang w:val="th-TH" w:eastAsia="th-TH" w:bidi="th-TH"/>
      </w:rPr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H Sarabun New" w:hAnsi="TH Sarabun New"/>
      <w:color w:val="000000"/>
      <w:sz w:val="32"/>
      <w:lang w:val="th-TH" w:eastAsia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th-TH" w:eastAsia="th-TH" w:bidi="th-TH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th-TH" w:eastAsia="th-TH" w:bidi="th-TH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th-TH" w:eastAsia="th-TH" w:bidi="th-TH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th-TH" w:eastAsia="th-TH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000000"/>
      <w:sz w:val="32"/>
      <w:szCs w:val="28"/>
      <w:lang w:val="th-TH" w:eastAsia="th-TH"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000000"/>
      <w:sz w:val="32"/>
      <w:szCs w:val="26"/>
      <w:lang w:val="th-TH" w:eastAsia="th-TH"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th-TH" w:eastAsia="th-TH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th-TH" w:eastAsia="th-TH"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th-TH" w:eastAsia="th-TH"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th-TH" w:eastAsia="th-TH"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th-TH" w:eastAsia="th-TH"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th-TH" w:eastAsia="th-TH"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th-TH" w:eastAsia="th-TH" w:bidi="th-TH"/>
    </w:rPr>
  </w:style>
  <w:style w:type="character" w:default="1" w:styleId="DefaultParagraphFont">
    <w:name w:val="Default Paragraph Font"/>
    <w:uiPriority w:val="1"/>
    <w:semiHidden/>
    <w:unhideWhenUsed/>
    <w:rPr>
      <w:lang w:val="th-TH" w:eastAsia="th-TH" w:bidi="th-TH"/>
    </w:rPr>
  </w:style>
  <w:style w:type="table" w:default="1" w:styleId="TableNormal">
    <w:name w:val="Normal Table"/>
    <w:uiPriority w:val="99"/>
    <w:semiHidden/>
    <w:unhideWhenUsed/>
    <w:rPr>
      <w:lang w:val="th-TH" w:eastAsia="th-TH" w:bidi="th-TH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th-TH" w:eastAsia="th-TH" w:bidi="th-TH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th-TH" w:eastAsia="th-TH"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th-TH" w:eastAsia="th-TH" w:bidi="th-TH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th-TH" w:eastAsia="th-TH" w:bidi="th-TH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th-TH" w:eastAsia="th-TH" w:bidi="th-TH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TH Sarabun New" w:hAnsi="TH Sarabun New"/>
      <w:b/>
      <w:color w:val="000000"/>
      <w:spacing w:val="5"/>
      <w:kern w:val="28"/>
      <w:sz w:val="40"/>
      <w:szCs w:val="52"/>
      <w:lang w:val="th-TH" w:eastAsia="th-TH" w:bidi="th-TH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th-TH" w:eastAsia="th-TH" w:bidi="th-TH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th-TH" w:eastAsia="th-TH"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th-TH" w:eastAsia="th-TH" w:bidi="th-TH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th-TH" w:eastAsia="th-TH" w:bidi="th-TH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th-TH" w:eastAsia="th-TH" w:bidi="th-TH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th-TH" w:eastAsia="th-TH" w:bidi="th-TH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th-TH" w:eastAsia="th-TH" w:bidi="th-TH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th-TH" w:eastAsia="th-TH" w:bidi="th-TH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th-TH" w:eastAsia="th-TH" w:bidi="th-TH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th-TH" w:eastAsia="th-TH" w:bidi="th-TH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th-TH" w:eastAsia="th-TH" w:bidi="th-TH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th-TH" w:eastAsia="th-TH" w:bidi="th-TH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th-TH" w:eastAsia="th-TH" w:bidi="th-TH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th-TH" w:eastAsia="th-TH" w:bidi="th-TH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th-TH" w:eastAsia="th-TH" w:bidi="th-TH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th-TH" w:eastAsia="th-TH" w:bidi="th-TH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th-TH" w:eastAsia="th-TH" w:bidi="th-TH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th-TH" w:eastAsia="th-TH" w:bidi="th-TH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th-TH" w:eastAsia="th-TH" w:bidi="th-TH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th-TH" w:eastAsia="th-TH" w:bidi="th-TH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th-TH" w:eastAsia="th-TH" w:bidi="th-TH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th-TH" w:eastAsia="th-TH" w:bidi="th-TH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th-TH" w:eastAsia="th-TH" w:bidi="th-TH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th-TH" w:eastAsia="th-TH" w:bidi="th-TH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th-TH" w:eastAsia="th-TH" w:bidi="th-TH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th-TH" w:eastAsia="th-TH" w:bidi="th-T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th-TH" w:eastAsia="th-TH" w:bidi="th-T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th-TH" w:eastAsia="th-TH" w:bidi="th-T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th-TH" w:eastAsia="th-TH" w:bidi="th-T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th-TH" w:eastAsia="th-TH" w:bidi="th-T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th-TH" w:eastAsia="th-TH" w:bidi="th-T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th-TH" w:eastAsia="th-TH" w:bidi="th-TH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th-TH" w:eastAsia="th-TH" w:bidi="th-TH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th-TH" w:eastAsia="th-TH" w:bidi="th-TH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th-TH" w:eastAsia="th-TH" w:bidi="th-TH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  <w:lang w:val="th-TH" w:eastAsia="th-TH"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th-TH" w:eastAsia="th-TH" w:bidi="th-TH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th-TH" w:eastAsia="th-TH" w:bidi="th-TH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th-TH" w:eastAsia="th-TH" w:bidi="th-TH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th-TH" w:eastAsia="th-TH" w:bidi="th-TH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th-TH" w:eastAsia="th-TH" w:bidi="th-TH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th-TH" w:eastAsia="th-TH" w:bidi="th-TH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th-TH" w:eastAsia="th-TH" w:bidi="th-TH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th-TH" w:eastAsia="th-TH" w:bidi="th-TH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th-TH" w:eastAsia="th-TH" w:bidi="th-TH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th-TH" w:eastAsia="th-TH" w:bidi="th-TH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