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0"/>
        <w:ind w:firstLine="0"/>
        <w:jc w:val="center"/>
      </w:pPr>
      <w:r>
        <w:rPr>
          <w:rFonts w:ascii="Angsana New" w:hAnsi="Angsana New" w:eastAsia="Angsana New" w:cs="Angsana New"/>
          <w:b/>
          <w:i w:val="0"/>
          <w:color w:val="111111"/>
          <w:sz w:val="40"/>
          <w:lang w:val="th-TH" w:eastAsia="th-TH" w:bidi="th-TH"/>
        </w:rPr>
        <w:t>บทที่ 2</w:t>
      </w:r>
    </w:p>
    <w:p>
      <w:pPr>
        <w:keepNext/>
        <w:spacing w:after="240"/>
        <w:ind w:firstLine="0"/>
        <w:jc w:val="center"/>
      </w:pPr>
      <w:r>
        <w:rPr>
          <w:rFonts w:ascii="Angsana New" w:hAnsi="Angsana New" w:eastAsia="Angsana New" w:cs="Angsana New"/>
          <w:b/>
          <w:i w:val="0"/>
          <w:color w:val="111111"/>
          <w:sz w:val="40"/>
          <w:lang w:val="th-TH" w:eastAsia="th-TH" w:bidi="th-TH"/>
        </w:rPr>
        <w:t>ความรู้พื้นฐานและงานที่เกี่ยวข้อง</w:t>
      </w:r>
    </w:p>
    <w:p>
      <w:pPr>
        <w:keepLines w:val="0"/>
        <w:spacing w:before="400" w:after="12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บทนี้อธิบายแนวคิดที่จำเป็นต่อการพัฒนา HandVox ตั้งแต่ขอบเขตของการรู้จำภาษามือด้วยคอมพิวเตอร์ การตรวจหาจุดสำคัญ การแทนลำดับการเคลื่อนไหว การจำแนก และหลักการประเมินผล โดยมีหัวข้อดังนี้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2.1 ภาษามือ การรู้จำ และการแปล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2.2 การรู้จำแบบภาพนิ่ง แบบแยกคำ และแบบต่อเนื่อง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2.3 การมองเห็นด้วยคอมพิวเตอร์และจุดสำคัญ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2.4 MediaPipe Holistic ในโครงงาน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2.5 การปรับมาตรฐานเชิงตำแหน่งและขนาด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2.6 การแทนลำดับการเคลื่อนไหว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2.7 Support Vector Machine และ RBF Kernel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2.8 การแบ่งข้อมูลและการป้องกันการรั่วไหลของข้อมูล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2.9 ตัวชี้วัดการจำแนก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2.10 การประมวลผลแบบเวลาจริงและเสียงพูด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2.11 งานและแนวคิดที่เกี่ยวข้อง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2.12 ความน่าเชื่อถือ จริยธรรม และการเข้าถึง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2.13 บทสรุป</w:t>
      </w:r>
    </w:p>
    <w:p>
      <w:r>
        <w:br w:type="page"/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2.1 ภาษามือ การรู้จำ และการแปล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ภาษามือเป็นภาษาธรรมชาติที่ใช้รูปมือ ตำแหน่ง ทิศทาง การเคลื่อนไหว การแสดงสีหน้า และโครงสร้างทางภาษา การทำให้คอมพิวเตอร์ระบุหน่วยท่าหรือคำจากวิดีโอเรียกว่า การรู้จำภาษามือ (Sign Language Recognition: SLR) ส่วนการแปลภาษามือ (Sign Language Translation: SLT) ต้องแปลงลำดับภาษามือให้เป็นประโยคของภาษาปลายทางโดยคำนึงถึงโครงสร้างและบริบท ดังนั้นระบบที่ส่งออกชื่อท่าจากคลิปสั้นจึงอยู่ในกลุ่มการรู้จำแบบแยกคำ ไม่ใช่ระบบแปลภาษามือต่อเนื่อง (Yu et al., 2022; Sarhan &amp; Frintrop, 2023)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การกำหนดคำเรียกให้ตรงกับความสามารถเป็นหลักสำคัญของงานวิจัย เพราะช่วยป้องกันการนำผลไปใช้เกินขอบเขต HandVox จึงจำแนกเฉพาะท่าที่ผู้พัฒนาหรือผู้ใช้เก็บไว้ในชุดข้อมูล และต้องให้ผู้ใช้กดเพิ่มคำลงในประโยค ไม่ได้แบ่งคำหรือวิเคราะห์ไวยากรณ์โดยอัตโนมัติ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2.2 การรู้จำแบบภาพนิ่ง แบบแยกคำ และแบบต่อเนื่อง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474"/>
        <w:gridCol w:w="1984"/>
        <w:gridCol w:w="1928"/>
        <w:gridCol w:w="2920"/>
      </w:tblGrid>
      <w:tr>
        <w:trPr>
          <w:tblHeader w:val="true"/>
          <w:cantSplit w:val="true"/>
        </w:trPr>
        <w:tc>
          <w:tcPr>
            <w:tcW w:type="dxa" w:w="1474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  <w:lang w:val="th-TH" w:eastAsia="th-TH" w:bidi="th-TH"/>
              </w:rPr>
              <w:t>รูปแบบ</w:t>
            </w:r>
          </w:p>
        </w:tc>
        <w:tc>
          <w:tcPr>
            <w:tcW w:type="dxa" w:w="1984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  <w:lang w:val="th-TH" w:eastAsia="th-TH" w:bidi="th-TH"/>
              </w:rPr>
              <w:t>ข้อมูลนำเข้า</w:t>
            </w:r>
          </w:p>
        </w:tc>
        <w:tc>
          <w:tcPr>
            <w:tcW w:type="dxa" w:w="1928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  <w:lang w:val="th-TH" w:eastAsia="th-TH" w:bidi="th-TH"/>
              </w:rPr>
              <w:t>ผลลัพธ์</w:t>
            </w:r>
          </w:p>
        </w:tc>
        <w:tc>
          <w:tcPr>
            <w:tcW w:type="dxa" w:w="2920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  <w:lang w:val="th-TH" w:eastAsia="th-TH" w:bidi="th-TH"/>
              </w:rPr>
              <w:t>ขอบเขต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ภาพนิ่ง</w:t>
            </w:r>
          </w:p>
        </w:tc>
        <w:tc>
          <w:tcPr>
            <w:tcW w:type="dxa" w:w="19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หนึ่งเฟรม</w:t>
            </w:r>
          </w:p>
        </w:tc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คลาสของรูปมือ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ไม่แทนลำดับการเคลื่อนไหว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แบบแยกคำ</w:t>
            </w:r>
          </w:p>
        </w:tc>
        <w:tc>
          <w:tcPr>
            <w:tcW w:type="dxa" w:w="19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คลิปของหนึ่งท่า</w:t>
            </w:r>
          </w:p>
        </w:tc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หนึ่งคำหรือหนึ่งป้ายกำกับ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เหมาะกับท่าที่มีจุดเริ่มและสิ้นสุดชัดเจน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แบบต่อเนื่อง</w:t>
            </w:r>
          </w:p>
        </w:tc>
        <w:tc>
          <w:tcPr>
            <w:tcW w:type="dxa" w:w="19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วิดีโอหลายท่าต่อกัน</w:t>
            </w:r>
          </w:p>
        </w:tc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ลำดับคำหรือประโยค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ต้องแบ่งหน่วยท่าและจัดการบริบท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ตารางที่ 2.1 การเปรียบเทียบระดับของการรู้จำ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HandVox เลือกการรู้จำแบบแยกคำจากคลิป 30 เฟรม เพื่อให้ระบบรับรู้การเคลื่อนไหวของแขนและมือที่ไม่สามารถอธิบายด้วยภาพนิ่งเพียงเฟรมเดียว อย่างไรก็ดี ความยาว 30 เฟรมเป็นจำนวนตัวอย่างตามลำดับ ไม่ใช่ระยะเวลาแน่นอน เพราะระยะเวลาจริงขึ้นกับอัตราเฟรมของกล้องและภาระการประมวลผล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2.3 การมองเห็นด้วยคอมพิวเตอร์และจุดสำคัญ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การมองเห็นด้วยคอมพิวเตอร์เป็นกระบวนการรับภาพหรือวิดีโอและสกัดข้อมูลที่ใช้ตัดสินใจได้ OpenCV ทำหน้าที่เปิดกล้อง กลับภาพในแนวนอน วาดส่วนติดต่อ และแสดงผล ส่วน MediaPipe ทำหน้าที่ประมาณพิกัดจุดสำคัญ การใช้จุดสำคัญแทนภาพดิบช่วยลดมิติข้อมูลและทำให้ตีความได้ง่ายขึ้น แต่ยังขึ้นกับคุณภาพการตรวจหา การบังมือ แสง มุมกล้อง และความเร็วของการเคลื่อนไหว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งาน MediaPipe Hands เสนอการตรวจหาฝ่ามือร่วมกับแบบจำลองจุดสำคัญ 21 จุดต่อมือสำหรับการทำงานแบบเวลาจริงจากกล้อง RGB (Zhang et al., 2020) ส่วน MediaPipe Holistic รวมจุดท่าทางร่างกาย ใบหน้า และมือทั้งสองข้างไว้ในกระบวนการเดียว โดยคงความสอดคล้องของด้านซ้ายและขวาระหว่างเฟรม (Google AI Edge, n.d.)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2.4 MediaPipe Holistic ในโครงงาน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โครงงานตั้งค่า MediaPipe Holistic ให้ประมวลผลวิดีโอต่อเนื่อง (static_image_mode=False) ใช้ model_complexity=1 เปิด smooth_landmarks และกำหนด min_detection_confidence กับ min_tracking_confidence เท่ากับ 0.70 แม้ Holistic จะสามารถส่งออกจุดจำนวนมาก แต่ HandVox เลือกเฉพาะ 15 จุดของช่วงบนและจุดมือ 21 จุดต่อข้างเพื่อควบคุมขนาดข้อมูล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515"/>
        <w:gridCol w:w="1247"/>
        <w:gridCol w:w="1361"/>
        <w:gridCol w:w="2183"/>
      </w:tblGrid>
      <w:tr>
        <w:trPr>
          <w:tblHeader w:val="true"/>
          <w:cantSplit w:val="true"/>
        </w:trPr>
        <w:tc>
          <w:tcPr>
            <w:tcW w:type="dxa" w:w="3515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  <w:lang w:val="th-TH" w:eastAsia="th-TH" w:bidi="th-TH"/>
              </w:rPr>
              <w:t>กลุ่มจุด</w:t>
            </w:r>
          </w:p>
        </w:tc>
        <w:tc>
          <w:tcPr>
            <w:tcW w:type="dxa" w:w="1247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  <w:lang w:val="th-TH" w:eastAsia="th-TH" w:bidi="th-TH"/>
              </w:rPr>
              <w:t>จำนวนจุด</w:t>
            </w:r>
          </w:p>
        </w:tc>
        <w:tc>
          <w:tcPr>
            <w:tcW w:type="dxa" w:w="1361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  <w:lang w:val="th-TH" w:eastAsia="th-TH" w:bidi="th-TH"/>
              </w:rPr>
              <w:t>พิกัดต่อจุด</w:t>
            </w:r>
          </w:p>
        </w:tc>
        <w:tc>
          <w:tcPr>
            <w:tcW w:type="dxa" w:w="2183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  <w:lang w:val="th-TH" w:eastAsia="th-TH" w:bidi="th-TH"/>
              </w:rPr>
              <w:t>จำนวนคุณลักษณะ</w:t>
            </w:r>
          </w:p>
        </w:tc>
      </w:tr>
      <w:tr>
        <w:trPr>
          <w:cantSplit w:val="true"/>
        </w:trPr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ช่วงบน: ศีรษะ ไหล่ ศอก ข้อมือ และสะโพก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15</w:t>
            </w:r>
          </w:p>
        </w:tc>
        <w:tc>
          <w:tcPr>
            <w:tcW w:type="dxa" w:w="136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x, y, z</w:t>
            </w:r>
          </w:p>
        </w:tc>
        <w:tc>
          <w:tcPr>
            <w:tcW w:type="dxa" w:w="21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45</w:t>
            </w:r>
          </w:p>
        </w:tc>
      </w:tr>
      <w:tr>
        <w:trPr>
          <w:cantSplit w:val="true"/>
        </w:trPr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มือซ้าย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21</w:t>
            </w:r>
          </w:p>
        </w:tc>
        <w:tc>
          <w:tcPr>
            <w:tcW w:type="dxa" w:w="136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x, y, z</w:t>
            </w:r>
          </w:p>
        </w:tc>
        <w:tc>
          <w:tcPr>
            <w:tcW w:type="dxa" w:w="21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63</w:t>
            </w:r>
          </w:p>
        </w:tc>
      </w:tr>
      <w:tr>
        <w:trPr>
          <w:cantSplit w:val="true"/>
        </w:trPr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มือขวา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21</w:t>
            </w:r>
          </w:p>
        </w:tc>
        <w:tc>
          <w:tcPr>
            <w:tcW w:type="dxa" w:w="136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x, y, z</w:t>
            </w:r>
          </w:p>
        </w:tc>
        <w:tc>
          <w:tcPr>
            <w:tcW w:type="dxa" w:w="21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63</w:t>
            </w:r>
          </w:p>
        </w:tc>
      </w:tr>
      <w:tr>
        <w:trPr>
          <w:cantSplit w:val="true"/>
        </w:trPr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รวมต่อเฟรม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57</w:t>
            </w:r>
          </w:p>
        </w:tc>
        <w:tc>
          <w:tcPr>
            <w:tcW w:type="dxa" w:w="136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3</w:t>
            </w:r>
          </w:p>
        </w:tc>
        <w:tc>
          <w:tcPr>
            <w:tcW w:type="dxa" w:w="21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171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ตารางที่ 2.2 คุณลักษณะที่ HandVox เลือกใช้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ระบบคืนค่า None เมื่อไม่พบโครงร่างท่าทางหรือไม่พบมือทั้งสองข้าง หากพบเพียงมือเดียว ระบบแทนคุณลักษณะของมือที่ไม่พบด้วยศูนย์จำนวน 63 ค่า วิธีนี้ทำให้ทุกเฟรมมีมิติเท่ากัน แต่ต้องระวังว่าศูนย์เป็นสัญลักษณ์ของข้อมูลที่หาย ไม่ใช่ตำแหน่งมือจริง</w:t>
      </w:r>
    </w:p>
    <w:p>
      <w:pPr>
        <w:keepNext/>
        <w:keepLines/>
        <w:spacing w:before="120" w:after="60"/>
        <w:ind w:firstLine="0"/>
        <w:jc w:val="center"/>
        <w:shd w:fill="F7F7F7"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br/>
        <w:br/>
        <w:br/>
      </w:r>
      <w:r>
        <w:rPr>
          <w:rFonts w:ascii="Angsana New" w:hAnsi="Angsana New" w:eastAsia="Angsana New" w:cs="Angsana New"/>
          <w:b/>
          <w:i w:val="0"/>
          <w:color w:val="1F4E79"/>
          <w:sz w:val="30"/>
          <w:lang w:val="th-TH" w:eastAsia="th-TH" w:bidi="th-TH"/>
        </w:rPr>
        <w:t>[เว้นพื้นที่สำหรับภาพประกอบ]</w:t>
        <w:br/>
      </w:r>
      <w:r>
        <w:rPr>
          <w:rFonts w:ascii="Angsana New" w:hAnsi="Angsana New" w:eastAsia="Angsana New" w:cs="Angsana New"/>
          <w:b w:val="0"/>
          <w:i/>
          <w:color w:val="595959"/>
          <w:sz w:val="28"/>
          <w:lang w:val="th-TH" w:eastAsia="th-TH" w:bidi="th-TH"/>
        </w:rPr>
        <w:t>ภาพที่ต้องการ: แผนภาพบุคคลช่วงบนที่ทำเครื่องหมายจุด pose 15 จุด และจุดมือซ้าย–ขวาข้างละ 21 จุด พร้อมแยกสีของแต่ละกลุ่ม</w:t>
      </w: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br/>
        <w:br/>
        <w:br/>
      </w:r>
    </w:p>
    <w:p>
      <w:pPr>
        <w:pStyle w:val="Caption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ภาพที่ 2.1 จุดสำคัญที่ HandVox เลือกใช้จาก MediaPipe Holistic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2.5 การปรับมาตรฐานเชิงตำแหน่งและขนาด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พิกัดจากภาพเปลี่ยนตามตำแหน่งผู้ใช้ ระยะห่าง และขนาดตัว HandVox จึงกำหนดจุดกึ่งกลางไหล่ซ้ายและขวาเป็นจุดอ้างอิง c และใช้ระยะยูคลิดระหว่างไหล่เป็นตัวปรับขนาด s สำหรับจุด p_i พิกัดที่ปรับแล้วคำนวณเป็น p′_i = (p_i − c) / max(s, 10⁻⁶) ทั้งแกน x, y และ z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การปรับดังกล่าวลดผลจากการเลื่อนตำแหน่งและการเปลี่ยนขนาดโดยรวม แต่ไม่ทำให้ข้อมูลไม่แปรผันต่อการหมุน มุมกล้อง หรือสัดส่วนร่างกายทั้งหมด จึงยังต้องเก็บข้อมูลจากระยะ มุม และความเร็วที่หลากหลาย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2.6 การแทนลำดับการเคลื่อนไหว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หนึ่งคลิปประกอบด้วย 30 เฟรมและแต่ละเฟรมมี 171 คุณลักษณะ จึงแทนได้เป็นเมทริกซ์ขนาด 30 × 171 ก่อนฝึก ระบบเรียงค่าทุกเฟรมต่อกันเป็นเวกเตอร์ 5,130 ค่า การเรียงตามลำดับเวลาเก็บข้อมูลการเคลื่อนไหวไว้ทางอ้อม เพราะตำแหน่งของคุณลักษณะในเวกเตอร์สัมพันธ์กับลำดับเฟรม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ข้อดีของวิธีนี้คือใช้งานร่วมกับตัวจำแนกแบบดั้งเดิมได้ง่ายและฝึกได้รวดเร็วเมื่อข้อมูลมีขนาดเล็ก ข้อจำกัดคือทุกคลิปต้องมีจำนวนเฟรมเท่ากัน และแบบจำลองอาจไวต่อความเร็วหรือจังหวะที่ต่างจากข้อมูลฝึกมาก</w:t>
      </w:r>
    </w:p>
    <w:p>
      <w:pPr>
        <w:keepNext/>
        <w:keepLines/>
        <w:spacing w:before="120" w:after="60"/>
        <w:ind w:firstLine="0"/>
        <w:jc w:val="center"/>
        <w:shd w:fill="F7F7F7"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br/>
        <w:br/>
      </w:r>
      <w:r>
        <w:rPr>
          <w:rFonts w:ascii="Angsana New" w:hAnsi="Angsana New" w:eastAsia="Angsana New" w:cs="Angsana New"/>
          <w:b/>
          <w:i w:val="0"/>
          <w:color w:val="1F4E79"/>
          <w:sz w:val="30"/>
          <w:lang w:val="th-TH" w:eastAsia="th-TH" w:bidi="th-TH"/>
        </w:rPr>
        <w:t>[เว้นพื้นที่สำหรับภาพประกอบ]</w:t>
        <w:br/>
      </w:r>
      <w:r>
        <w:rPr>
          <w:rFonts w:ascii="Angsana New" w:hAnsi="Angsana New" w:eastAsia="Angsana New" w:cs="Angsana New"/>
          <w:b w:val="0"/>
          <w:i/>
          <w:color w:val="595959"/>
          <w:sz w:val="28"/>
          <w:lang w:val="th-TH" w:eastAsia="th-TH" w:bidi="th-TH"/>
        </w:rPr>
        <w:t>ภาพที่ต้องการ: แผนภาพเรียงภาพตัวอย่างท่าเดียวตั้งแต่เฟรมที่ 1 ถึงเฟรมที่ 30 พร้อมลูกศรแสดงลำดับเวลา และระบุ 171 คุณลักษณะต่อเฟรม</w:t>
      </w: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br/>
        <w:br/>
      </w:r>
    </w:p>
    <w:p>
      <w:pPr>
        <w:pStyle w:val="Caption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ภาพที่ 2.2 การแทนคลิปหนึ่งท่าเป็นลำดับ 30 เฟรม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2.7 Support Vector Machine และ RBF Kernel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Support Vector Machine เป็นวิธีการเรียนรู้แบบมีผู้สอนที่สร้างขอบเขตการตัดสินใจโดยอาศัยตัวอย่างที่อยู่ใกล้ขอบเขตของคลาส แนวคิดดั้งเดิมเสนอการแปลงข้อมูลไปยังปริภูมิที่มีมิติสูงเพื่อสร้างขอบเขตที่แยกข้อมูลได้ดี (Cortes &amp; Vapnik, 1995) RBF kernel ช่วยสร้างขอบเขตไม่เชิงเส้นและเหมาะกับความสัมพันธ์ที่ซับซ้อนระหว่างตำแหน่งจุดหลายเฟรม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HandVox ใช้ SVC ของ scikit-learn โดยกำหนด kernel='rbf', C=10, gamma='scale' และ probability=True ค่า C ควบคุมการแลกเปลี่ยนระหว่างขอบเขตที่กว้างกับข้อผิดพลาดบนข้อมูลฝึก ส่วน gamma กำหนดอิทธิพลของตัวอย่างต่อรูปร่างขอบเขต การเปิด probability ทำให้ระบบรายงานค่าประกอบการตัดสินใจ แต่ค่าดังกล่าวไม่ควรถูกตีความเป็นการรับประกันความถูกต้องในโลกจริง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2.8 การแบ่งข้อมูลและการป้องกันการรั่วไหลของข้อมูล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การแบ่งชุดข้อมูลฝึกและทดสอบต้องทำก่อนประเมินผล โดยใช้ข้อมูลทดสอบเฉพาะสำหรับวัดความสามารถกับตัวอย่างที่โมเดลไม่ได้ใช้ฝึก HandVox ใช้การแบ่ง 80:20 แบบ stratified และ random_state=42 เพื่อรักษาสัดส่วนคลาสและทำซ้ำได้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อย่างไรก็ตาม คลิปที่เก็บต่อเนื่องจากผู้ทำท่าคนเดียว เซสชันเดียว และพื้นหลังเดียวอาจคล้ายกันมาก แม้จะอยู่คนละไฟล์คลิป หากสุ่มคลิประหว่างชุดฝึกและทดสอบ คะแนนอาจสะท้อนความสามารถในการจำลักษณะของเซสชันมากกว่าความสามารถกับผู้ใช้ใหม่ แนวทางที่เข้มงวดกว่าคือแบ่งตามผู้ให้ข้อมูลหรือรอบการเก็บ (grouped split) และมีชุดทดสอบภายนอกที่แยกจากกระบวนการพัฒนา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2.9 ตัวชี้วัดการจำแนก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Accuracy คือสัดส่วนตัวอย่างที่ทำนายถูกทั้งหมด แต่เมื่อจำนวนตัวอย่างหรือความยากของแต่ละคลาสต่างกัน ควรรายงาน precision, recall และ F1-score รายคลาส รวมถึงค่าเฉลี่ยแบบ macro ซึ่งให้น้ำหนักทุกคลาสเท่ากัน Confusion matrix ช่วยแสดงว่าท่าใดถูกสับสนกับท่าใด (Sokolova &amp; Lapalme, 2009)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701"/>
        <w:gridCol w:w="3969"/>
        <w:gridCol w:w="2636"/>
      </w:tblGrid>
      <w:tr>
        <w:trPr>
          <w:tblHeader w:val="true"/>
          <w:cantSplit w:val="true"/>
        </w:trPr>
        <w:tc>
          <w:tcPr>
            <w:tcW w:type="dxa" w:w="1701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  <w:lang w:val="th-TH" w:eastAsia="th-TH" w:bidi="th-TH"/>
              </w:rPr>
              <w:t>ตัวชี้วัด</w:t>
            </w:r>
          </w:p>
        </w:tc>
        <w:tc>
          <w:tcPr>
            <w:tcW w:type="dxa" w:w="3969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  <w:lang w:val="th-TH" w:eastAsia="th-TH" w:bidi="th-TH"/>
              </w:rPr>
              <w:t>ความหมาย</w:t>
            </w:r>
          </w:p>
        </w:tc>
        <w:tc>
          <w:tcPr>
            <w:tcW w:type="dxa" w:w="2636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  <w:lang w:val="th-TH" w:eastAsia="th-TH" w:bidi="th-TH"/>
              </w:rPr>
              <w:t>การใช้ในโครงงาน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Accuracy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สัดส่วนการทำนายถูกทั้งหมด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ภาพรวมของชุดทดสอบ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Precision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เมื่อระบบทำนายเป็นคลาสหนึ่ง มีสัดส่วนถูกเท่าใด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ตรวจการทำนายเกิน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Recall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ตัวอย่างจริงของคลาสหนึ่งถูกพบเท่าใด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ตรวจการพลาดคลาส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F1-score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ค่าเฉลี่ยฮาร์มอนิกของ precision และ recall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เปรียบเทียบรายคลาส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Confusion matrix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จำนวนจริงและทำนายของทุกคู่คลาส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ค้นหาคู่ท่าที่สับสน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ตารางที่ 2.3 ตัวชี้วัดที่ควรรายงาน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2.10 การประมวลผลแบบเวลาจริงและเสียงพูด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ขณะใช้งาน ระบบเก็บคุณลักษณะล่าสุดในคิว 30 เฟรม เมื่อคิวเต็มจึงคำนวณความน่าจะเป็นของทุกคลาส รับเฉพาะผลที่มีค่าอย่างน้อย 0.40 และใช้ผลย้อนหลัง 3 ครั้งเพื่อเลือกคลาสที่พบมากที่สุด หากไม่พบมือเกิน 0.4 วินาที ระบบล้างคิวและสถานะ การประมวลผลนี้ช่วยลดการสั่นของหน้าจอ แต่ไม่ได้แทนการประเมินความถูกต้องของโมเดล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ผลลัพธ์สามารถเพิ่มเป็นประโยคด้วยแป้นพิมพ์และส่งให้ gTTS สร้างเสียงภาษาไทย โดย pygame เล่นไฟล์เสียงที่สร้างชั่วคราว TTS เป็นช่องทางนำเสนอผล ไม่ได้มีส่วนในการรู้จำท่าทาง และต้องใช้อินเทอร์เน็ตในขณะสร้างเสียงตามการติดตั้งปัจจุบัน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2.11 งานและแนวคิดที่เกี่ยวข้อง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268"/>
        <w:gridCol w:w="3118"/>
        <w:gridCol w:w="2920"/>
      </w:tblGrid>
      <w:tr>
        <w:trPr>
          <w:tblHeader w:val="true"/>
          <w:cantSplit w:val="true"/>
        </w:trPr>
        <w:tc>
          <w:tcPr>
            <w:tcW w:type="dxa" w:w="2268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แหล่งอ้างอิง</w:t>
            </w:r>
          </w:p>
        </w:tc>
        <w:tc>
          <w:tcPr>
            <w:tcW w:type="dxa" w:w="3118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ประเด็นสำคัญ</w:t>
            </w:r>
          </w:p>
        </w:tc>
        <w:tc>
          <w:tcPr>
            <w:tcW w:type="dxa" w:w="2920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ความสัมพันธ์กับ HandVox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Cortes &amp; Vapnik (1995)</w:t>
            </w:r>
          </w:p>
        </w:tc>
        <w:tc>
          <w:tcPr>
            <w:tcW w:type="dxa" w:w="311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หลักการ Support Vector Networks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ฐานของตัวจำแนก SVM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Zhang et al. (2020)</w:t>
            </w:r>
          </w:p>
        </w:tc>
        <w:tc>
          <w:tcPr>
            <w:tcW w:type="dxa" w:w="311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การติดตามโครงร่างมือ 21 จุดแบบเวลาจริง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ฐานของคุณลักษณะมือ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Yu et al. (2022)</w:t>
            </w:r>
          </w:p>
        </w:tc>
        <w:tc>
          <w:tcPr>
            <w:tcW w:type="dxa" w:w="311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ทบทวนงานรู้จำระดับท่าทาง คำแยก และประโยคต่อเนื่อง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ใช้กำหนดขอบเขตการกล่าวอ้าง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Sarhan &amp; Frintrop (2023)</w:t>
            </w:r>
          </w:p>
        </w:tc>
        <w:tc>
          <w:tcPr>
            <w:tcW w:type="dxa" w:w="311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สำรวจการรู้จำภาษามือแบบแยกคำและชุดข้อมูล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ใช้วิเคราะห์ข้อจำกัดด้านผู้ทำท่าและข้อมูล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Chalotonpised et al. (2026)</w:t>
            </w:r>
          </w:p>
        </w:tc>
        <w:tc>
          <w:tcPr>
            <w:tcW w:type="dxa" w:w="311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ชุดข้อมูลภาษามือไทยระดับคำจากหลายผู้ทำท่า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ใช้เปรียบเทียบขนาดข้อมูลและการทดสอบแบบ signer-independent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Google AI Edge (n.d.)</w:t>
            </w:r>
          </w:p>
        </w:tc>
        <w:tc>
          <w:tcPr>
            <w:tcW w:type="dxa" w:w="311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MediaPipe Holistic สำหรับจุดร่างกาย ใบหน้า และมือ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กระบวนการตรวจหาจุดของระบบ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ตารางที่ 2.4 งานและแนวคิดที่เกี่ยวข้อง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งาน TSL-ONE-S รายงานชุดข้อมูลภาษามือไทยระดับคำ 4,152 วิดีโอ ครอบคลุม 184 คำ จากผู้ทำท่า 29 คน และประเมินแบบแยกผู้ทำท่า (signer-independent) (Chalotonpised et al., 2026) งานดังกล่าวชี้ให้เห็นความสำคัญของความหลากหลายด้านบุคคลและสภาพแวดล้อม ดังนั้นชุดข้อมูล 120 คลิปจาก 4 ท่าของ HandVox ควรถูกอธิบายว่าเป็นชุดข้อมูลต้นแบบภายในโครงงาน ไม่ใช่หลักฐานความสามารถทั่วไปของระบบ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2.12 ความน่าเชื่อถือ จริยธรรม และการเข้าถึง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ข้อมูลท่าทางอาจเกี่ยวข้องกับอัตลักษณ์ การเคลื่อนไหว และสภาพแวดล้อมของผู้ให้ข้อมูล การเก็บข้อมูลจากบุคคลจึงควรแจ้งวัตถุประสงค์ ขอความยินยอม จำกัดการใช้ และเก็บเฉพาะข้อมูลที่จำเป็น โครงงานปัจจุบันจัดเก็บจุดสำคัญและป้ายกำกับในไฟล์ NPZ ไม่ได้บันทึกวิดีโอต้นฉบับเป็นชุดข้อมูล แต่ภาพจากกล้องยังถูกประมวลผลในหน่วยความจำระหว่างเก็บและใช้งาน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ระบบควรรายงานข้อจำกัดอย่างชัดเจน ไม่อ้างว่าสามารถแทนล่ามหรือรองรับภาษามือไทยทั้งหมด และควรประเมินกับผู้ใช้หลายคนก่อนใช้งานจริง การออกแบบส่วนติดต่อควรแสดงผลที่อ่านง่าย มีทางเลือกข้อความเมื่อเสียงใช้ไม่ได้ และให้ผู้ใช้แก้ไขหรือลบคำที่ระบบทำนายผิด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2.13 บทสรุป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HandVox เป็นระบบรู้จำท่าทางภาษามือแบบแยกคำจากลำดับ 30 เฟรม โดยใช้ MediaPipe Holistic สกัด 171 คุณลักษณะต่อเฟรม ปรับมาตรฐานด้วยตำแหน่งและระยะไหล่ เรียงเป็นเวกเตอร์ 5,130 ค่า และจำแนกด้วย SVM แบบ RBF แนวทางนี้เหมาะกับต้นแบบข้อมูลขนาดเล็กและตรวจสอบกระบวนการได้ง่าย แต่ยังต้องควบคุมการรั่วไหลของข้อมูล ทดสอบกับผู้ทำท่าและสภาพแวดล้อมใหม่ และจำกัดการกล่าวอ้างให้ตรงกับการรู้จำแบบแยกคำ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รายการอ้างอิงของบท</w:t>
      </w:r>
    </w:p>
    <w:p>
      <w:pPr>
        <w:spacing w:after="60" w:line="240" w:lineRule="auto"/>
        <w:ind w:left="709" w:hanging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Bradski, G. (2000). The OpenCV Library. Dr. Dobb’s Journal of Software Tools.</w:t>
      </w:r>
    </w:p>
    <w:p>
      <w:pPr>
        <w:spacing w:after="60" w:line="240" w:lineRule="auto"/>
        <w:ind w:left="709" w:hanging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Cortes, C., &amp; Vapnik, V. (1995). Support-vector networks. Machine Learning, 20, 273–297. https://doi.org/10.1007/BF00994018</w:t>
      </w:r>
    </w:p>
    <w:p>
      <w:pPr>
        <w:spacing w:after="60" w:line="240" w:lineRule="auto"/>
        <w:ind w:left="709" w:hanging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Chalotonpised, J., Chen, W. H., Vijitkunsawat, W., &amp; Lin, Y. C. (2026). TSL-ONE-S: A real-world Thai sign language dataset with deep learning benchmarks. IEEE Access, 14, 37845–37870. https://doi.org/10.1109/ACCESS.2026.3670970</w:t>
      </w:r>
    </w:p>
    <w:p>
      <w:pPr>
        <w:spacing w:after="60" w:line="240" w:lineRule="auto"/>
        <w:ind w:left="709" w:hanging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Google AI Edge. (n.d.). Holistic landmarks detection task guide. Retrieved August 1, 2026, from https://developers.google.com/edge/mediapipe/solutions/vision/holistic_landmarker</w:t>
      </w:r>
    </w:p>
    <w:p>
      <w:pPr>
        <w:spacing w:after="60" w:line="240" w:lineRule="auto"/>
        <w:ind w:left="709" w:hanging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Pedregosa, F., Varoquaux, G., Gramfort, A., Michel, V., Thirion, B., Grisel, O., Blondel, M., Prettenhofer, P., Weiss, R., Dubourg, V., Vanderplas, J., Passos, A., Cournapeau, D., Brucher, M., Perrot, M., &amp; Duchesnay, E. (2011). Scikit-learn: Machine learning in Python. Journal of Machine Learning Research, 12(85), 2825–2830.</w:t>
      </w:r>
    </w:p>
    <w:p>
      <w:pPr>
        <w:spacing w:after="60" w:line="240" w:lineRule="auto"/>
        <w:ind w:left="709" w:hanging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Sarhan, N., &amp; Frintrop, S. (2023). Unraveling a decade: A comprehensive survey on isolated sign language recognition. Proceedings of the IEEE/CVF International Conference on Computer Vision Workshops, 3210–3219. https://openaccess.thecvf.com/content/ICCV2023W/AMFG/html/Sarhan_Unraveling_a_Decade_A_Comprehensive_Survey_on_Isolated_Sign_Language_ICCVW_2023_paper.html</w:t>
      </w:r>
    </w:p>
    <w:p>
      <w:pPr>
        <w:spacing w:after="60" w:line="240" w:lineRule="auto"/>
        <w:ind w:left="709" w:hanging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Sokolova, M., &amp; Lapalme, G. (2009). A systematic analysis of performance measures for classification tasks. Information Processing &amp; Management, 45(4), 427–437. https://doi.org/10.1016/j.ipm.2009.03.002</w:t>
      </w:r>
    </w:p>
    <w:p>
      <w:pPr>
        <w:spacing w:after="60" w:line="240" w:lineRule="auto"/>
        <w:ind w:left="709" w:hanging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Yu, M., Jia, J., Xue, C., Yan, G., Guo, Y., &amp; Liu, Y. (2022). A review of sign language recognition research. Journal of Intelligent &amp; Fuzzy Systems, 43(4), 3879–3898. https://doi.org/10.3233/JIFS-210050</w:t>
      </w:r>
    </w:p>
    <w:p>
      <w:pPr>
        <w:spacing w:after="60" w:line="240" w:lineRule="auto"/>
        <w:ind w:left="709" w:hanging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Zhang, F., Bazarevsky, V., Vakunov, A., Tkachenka, A., Sung, G., Chang, C.-L., &amp; Grundmann, M. (2020). MediaPipe Hands: On-device real-time hand tracking. arXiv:2006.10214. https://doi.org/10.48550/arXiv.2006.10214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2160" w:right="1440" w:bottom="1440" w:left="2160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ngsana New" w:hAnsi="Angsana New" w:eastAsia="Angsana New" w:cs="Angsana New"/>
        <w:b w:val="0"/>
        <w:i w:val="0"/>
        <w:color w:val="111111"/>
        <w:sz w:val="28"/>
        <w:lang w:val="th-TH" w:eastAsia="th-TH" w:bidi="th-TH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40" w:line="276" w:lineRule="auto"/>
      <w:ind w:firstLine="709"/>
      <w:jc w:val="left"/>
    </w:pPr>
    <w:rPr>
      <w:rFonts w:ascii="Angsana New" w:hAnsi="Angsana New" w:eastAsia="Angsana New" w:cs="Angsana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ind w:firstLine="0"/>
      <w:outlineLvl w:val="0"/>
    </w:pPr>
    <w:rPr>
      <w:rFonts w:asciiTheme="majorHAnsi" w:eastAsiaTheme="majorEastAsia" w:hAnsiTheme="majorHAnsi" w:cstheme="majorBidi" w:ascii="Angsana New" w:hAnsi="Angsana New" w:eastAsia="Angsana New" w:cs="Angsana New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ind w:firstLine="0"/>
      <w:outlineLvl w:val="1"/>
    </w:pPr>
    <w:rPr>
      <w:rFonts w:asciiTheme="majorHAnsi" w:eastAsiaTheme="majorEastAsia" w:hAnsiTheme="majorHAnsi" w:cstheme="majorBidi" w:ascii="Angsana New" w:hAnsi="Angsana New" w:eastAsia="Angsana New" w:cs="Angsana New"/>
      <w:b/>
      <w:bCs/>
      <w:color w:val="11111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firstLine="0"/>
      <w:outlineLvl w:val="2"/>
    </w:pPr>
    <w:rPr>
      <w:rFonts w:asciiTheme="majorHAnsi" w:eastAsiaTheme="majorEastAsia" w:hAnsiTheme="majorHAnsi" w:cstheme="majorBidi" w:ascii="Angsana New" w:hAnsi="Angsana New" w:eastAsia="Angsana New" w:cs="Angsana New"/>
      <w:b/>
      <w:bCs/>
      <w:color w:val="11111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60" w:after="120"/>
      <w:ind w:firstLine="0"/>
      <w:jc w:val="center"/>
    </w:pPr>
    <w:rPr>
      <w:rFonts w:ascii="Angsana New" w:hAnsi="Angsana New" w:eastAsia="Angsana New"/>
      <w:b/>
      <w:bCs/>
      <w:i w:val="0"/>
      <w:color w:val="111111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