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r w:rsidDel="00000000" w:rsidR="00000000" w:rsidRPr="00000000">
        <w:rPr>
          <w:rtl w:val="0"/>
        </w:rPr>
        <w:t xml:space="preserve">Supplementary Methods and Results</w:t>
      </w:r>
    </w:p>
    <w:p w:rsidR="00000000" w:rsidDel="00000000" w:rsidP="00000000" w:rsidRDefault="00000000" w:rsidRPr="00000000" w14:paraId="00000002">
      <w:pPr>
        <w:spacing w:before="0" w:lineRule="auto"/>
        <w:rPr/>
      </w:pPr>
      <w:r w:rsidDel="00000000" w:rsidR="00000000" w:rsidRPr="00000000">
        <w:rPr>
          <w:rtl w:val="0"/>
        </w:rPr>
        <w:t xml:space="preserve">Using propensity score matching with exact matching on gender and collapsed ethnicity, flexible age modeling, and strong balance diagnostics, we found no detectable association between father incarceration and teacher-reported social–emotional or academic outcomes among Head Start children. Results persisted in Bayesian SEM framework that incorporated clustering by matched sets and model-based handling of outcome missingness. Together with the Head Start program context, these findings suggest that, conditional on observed covariates and within a supported setting, father incarceration did not show an independent adverse association with the studied outcomes in this sample.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Data audit and preprocessing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Duplicate handling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before="0" w:lineRule="auto"/>
        <w:ind w:left="720" w:hanging="360"/>
        <w:rPr/>
      </w:pPr>
      <w:sdt>
        <w:sdtPr>
          <w:id w:val="-20852614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True duplicate rows (identical across all columns): 2 rows → 1 dropped.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 collisions (same child ID with multiple rows): 21 unique IDs. We enforced one record per child using a transparent rule (retain the most complete record on key covariates; tie-break by earliest record). After dropping the exact duplicate row, enforced one row per idnumber: 2016 rows (from 2036)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Rows before MI after consolidation: 2,016.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Variable renaming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before="0" w:lineRule="auto"/>
        <w:ind w:left="720" w:hanging="360"/>
        <w:rPr/>
      </w:pPr>
      <w:sdt>
        <w:sdtPr>
          <w:id w:val="-19366713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Renamed I-to-N ratio → I_to_N_ratio; PI → FaInc.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Dropped non-analytic columns: idnumber, year, birth, entry, AGEM_O, chilfam, adultfam, Family size, income, Poverty threshold, caregiv, parincar.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Descriptive Statistics</w:t>
      </w:r>
    </w:p>
    <w:p w:rsidR="00000000" w:rsidDel="00000000" w:rsidP="00000000" w:rsidRDefault="00000000" w:rsidRPr="00000000" w14:paraId="0000000C">
      <w:pPr>
        <w:spacing w:before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039434" cy="3427530"/>
            <wp:effectExtent b="0" l="0" r="0" t="0"/>
            <wp:docPr descr="A screenshot of a computer program&#10;&#10;AI-generated content may be incorrect." id="2136094969" name="image7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434" cy="3427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Missing data and multiple imputation (MI)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900" w:hanging="360"/>
        <w:rPr/>
      </w:pPr>
      <w:r w:rsidDel="00000000" w:rsidR="00000000" w:rsidRPr="00000000">
        <w:rPr>
          <w:rtl w:val="0"/>
        </w:rPr>
        <w:t xml:space="preserve">We performed MI on covariates only (M = 5 datasets).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Rule="auto"/>
        <w:ind w:left="900" w:hanging="360"/>
        <w:rPr/>
      </w:pPr>
      <w:r w:rsidDel="00000000" w:rsidR="00000000" w:rsidRPr="00000000">
        <w:rPr>
          <w:rtl w:val="0"/>
        </w:rPr>
        <w:t xml:space="preserve">Numeric covariates (AgeM, I_to_N_ratio, educat): IterativeImputer (MICE-style) with posterior draws.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lineRule="auto"/>
        <w:ind w:left="900" w:hanging="360"/>
        <w:rPr/>
      </w:pPr>
      <w:sdt>
        <w:sdtPr>
          <w:id w:val="-7315859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Categorical covariates: program, gender, ethnic → collapsed to ethnic_collapsed where rare levels &lt; 3% were grouped as Other.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Rule="auto"/>
        <w:ind w:left="900" w:hanging="360"/>
        <w:rPr/>
      </w:pPr>
      <w:r w:rsidDel="00000000" w:rsidR="00000000" w:rsidRPr="00000000">
        <w:rPr>
          <w:rtl w:val="0"/>
        </w:rPr>
        <w:t xml:space="preserve">Treatment (FaInc) and outcomes were not imputed.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Rule="auto"/>
        <w:ind w:left="900" w:hanging="360"/>
        <w:rPr/>
      </w:pPr>
      <w:r w:rsidDel="00000000" w:rsidR="00000000" w:rsidRPr="00000000">
        <w:rPr>
          <w:rtl w:val="0"/>
        </w:rPr>
        <w:t xml:space="preserve">After removing the 176 controls without I_to_N_ratio post-MI, each imputed dataset size was 1,840.</w:t>
      </w:r>
    </w:p>
    <w:p w:rsidR="00000000" w:rsidDel="00000000" w:rsidP="00000000" w:rsidRDefault="00000000" w:rsidRPr="00000000" w14:paraId="00000013">
      <w:pPr>
        <w:spacing w:before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687017" cy="1589379"/>
            <wp:effectExtent b="0" l="0" r="0" t="0"/>
            <wp:docPr descr="A black screen with white text&#10;&#10;AI-generated content may be incorrect." id="2136094971" name="image5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7017" cy="158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725098" cy="1582895"/>
            <wp:effectExtent b="0" l="0" r="0" t="0"/>
            <wp:docPr descr="A black screen with white text&#10;&#10;AI-generated content may be incorrect." id="2136094970" name="image6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098" cy="158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900" w:hanging="360"/>
        <w:rPr/>
      </w:pPr>
      <w:r w:rsidDel="00000000" w:rsidR="00000000" w:rsidRPr="00000000">
        <w:rPr>
          <w:rtl w:val="0"/>
        </w:rPr>
        <w:t xml:space="preserve">Per MI set composition: FaInc = 192 (treated), 1,648 controls.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Propensity score matching (PSM)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Covariates: program, gender, ethnic_collapsed, AgeM, I_to_N_ratio, educat.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Encoding &amp; flexibility: one-hot for categorical; spline for AgeM (natural cubic, 5 knots) inside the PS model to capture nonlinearity.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Propensity model: logistic regression.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Matching: 1:1 nearest neighbor with replacement on the logit propensity, caliper = 0.2 SD of logit PS.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Exact matching: gender and ethnic_collapsed (SMD = 0 by design).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Matched samples and balance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Matched pairs per imputed set: 190–192 (unmatched treated: 0–2 per set).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0" w:lineRule="auto"/>
        <w:ind w:left="720" w:hanging="360"/>
        <w:rPr/>
      </w:pPr>
      <w:r w:rsidDel="00000000" w:rsidR="00000000" w:rsidRPr="00000000">
        <w:rPr/>
        <w:drawing>
          <wp:inline distB="0" distT="0" distL="0" distR="0">
            <wp:extent cx="4616154" cy="861971"/>
            <wp:effectExtent b="0" l="0" r="0" t="0"/>
            <wp:docPr descr="A screenshot of a computer program&#10;&#10;AI-generated content may be incorrect." id="2136094973" name="image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8.png"/>
                    <pic:cNvPicPr preferRelativeResize="0"/>
                  </pic:nvPicPr>
                  <pic:blipFill>
                    <a:blip r:embed="rId10"/>
                    <a:srcRect b="890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154" cy="861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0" w:lineRule="auto"/>
        <w:ind w:left="720" w:hanging="360"/>
        <w:rPr/>
      </w:pPr>
      <w:sdt>
        <w:sdtPr>
          <w:id w:val="-190614782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Balance (max |SMD| across covariates after matching): typically ≤ 0.043, worst-case across sets ≤ 0.070.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0" w:lineRule="auto"/>
        <w:ind w:left="720" w:hanging="360"/>
        <w:rPr/>
      </w:pPr>
      <w:sdt>
        <w:sdtPr>
          <w:id w:val="11871685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Pre-matching max |SMD| ≈ 0.280.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  <w:t xml:space="preserve">Per-set balance tables (pre/post SMD).</w:t>
      </w:r>
    </w:p>
    <w:p w:rsidR="00000000" w:rsidDel="00000000" w:rsidP="00000000" w:rsidRDefault="00000000" w:rsidRPr="00000000" w14:paraId="00000023">
      <w:pPr>
        <w:spacing w:after="0" w:before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12420" cy="4013833"/>
            <wp:effectExtent b="0" l="0" r="0" t="0"/>
            <wp:docPr descr="A screenshot of a computer program&#10;&#10;AI-generated content may be incorrect." id="2136094972" name="image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8.png"/>
                    <pic:cNvPicPr preferRelativeResize="0"/>
                  </pic:nvPicPr>
                  <pic:blipFill>
                    <a:blip r:embed="rId10"/>
                    <a:srcRect b="565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420" cy="4013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20777" cy="4046647"/>
            <wp:effectExtent b="0" l="0" r="0" t="0"/>
            <wp:docPr descr="A screenshot of a computer program&#10;&#10;AI-generated content may be incorrect." id="2136094975" name="image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8.png"/>
                    <pic:cNvPicPr preferRelativeResize="0"/>
                  </pic:nvPicPr>
                  <pic:blipFill>
                    <a:blip r:embed="rId10"/>
                    <a:srcRect b="13242" l="0" r="0" t="43050"/>
                    <a:stretch>
                      <a:fillRect/>
                    </a:stretch>
                  </pic:blipFill>
                  <pic:spPr>
                    <a:xfrm>
                      <a:off x="0" y="0"/>
                      <a:ext cx="5420777" cy="4046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0" w:before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03997" cy="5011196"/>
            <wp:effectExtent b="0" l="0" r="0" t="0"/>
            <wp:docPr descr="A screenshot of a computer&#10;&#10;AI-generated content may be incorrect." id="213609497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997" cy="501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Outcome construction and missingness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PALS harmonization</w:t>
      </w:r>
    </w:p>
    <w:p w:rsidR="00000000" w:rsidDel="00000000" w:rsidP="00000000" w:rsidRDefault="00000000" w:rsidRPr="00000000" w14:paraId="00000028">
      <w:pPr>
        <w:spacing w:before="0" w:lineRule="auto"/>
        <w:rPr/>
      </w:pPr>
      <w:r w:rsidDel="00000000" w:rsidR="00000000" w:rsidRPr="00000000">
        <w:rPr>
          <w:rtl w:val="0"/>
        </w:rPr>
        <w:t xml:space="preserve">Two versions of the Phonological Awareness Literacy Screening (PALS-PreK) were used across program years. Variables: pals (older form) and npals (newer form). Each child has one score; 13 children in the full dataset had both missing. We constructed PALS as the first non-missing of (pals, npals).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Outcomes and availability (median across MI sets)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0" w:lineRule="auto"/>
        <w:ind w:left="720" w:hanging="360"/>
        <w:rPr/>
      </w:pPr>
      <w:sdt>
        <w:sdtPr>
          <w:id w:val="-20790355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Social–emotional: selfcont, cooperat, social, initiat → non-missing ~ 380, missing 0 each.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Literacy: alphknow (377/3), sightwrd (378/2), PALS (375/5).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Math: numbers (379/1), geometry (379/1), measures (379/1).</w:t>
      </w:r>
    </w:p>
    <w:p w:rsidR="00000000" w:rsidDel="00000000" w:rsidP="00000000" w:rsidRDefault="00000000" w:rsidRPr="00000000" w14:paraId="0000002D">
      <w:pPr>
        <w:pStyle w:val="Heading4"/>
        <w:ind w:firstLine="360"/>
        <w:rPr/>
      </w:pPr>
      <w:r w:rsidDel="00000000" w:rsidR="00000000" w:rsidRPr="00000000">
        <w:rPr>
          <w:rtl w:val="0"/>
        </w:rPr>
        <w:t xml:space="preserve">Outputs: </w:t>
      </w:r>
    </w:p>
    <w:p w:rsidR="00000000" w:rsidDel="00000000" w:rsidP="00000000" w:rsidRDefault="00000000" w:rsidRPr="00000000" w14:paraId="0000002E">
      <w:pPr>
        <w:spacing w:before="0" w:lineRule="auto"/>
        <w:ind w:firstLine="720"/>
        <w:rPr/>
      </w:pPr>
      <w:r w:rsidDel="00000000" w:rsidR="00000000" w:rsidRPr="00000000">
        <w:rPr>
          <w:rtl w:val="0"/>
        </w:rPr>
        <w:t xml:space="preserve">outcome histograms per set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Bayesian SEM (primary robustness)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31">
      <w:pPr>
        <w:spacing w:before="0" w:lineRule="auto"/>
        <w:rPr/>
      </w:pPr>
      <w:r w:rsidDel="00000000" w:rsidR="00000000" w:rsidRPr="00000000">
        <w:rPr>
          <w:rtl w:val="0"/>
        </w:rPr>
        <w:t xml:space="preserve">A three-factor measurement model with latent factors and cluster random intercepts: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0" w:lineRule="auto"/>
        <w:ind w:left="720" w:hanging="360"/>
        <w:rPr/>
      </w:pPr>
      <w:sdt>
        <w:sdtPr>
          <w:id w:val="-1828556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Social ← selfcont, cooperat, social, initiat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before="0" w:lineRule="auto"/>
        <w:ind w:left="720" w:hanging="360"/>
        <w:rPr/>
      </w:pPr>
      <w:sdt>
        <w:sdtPr>
          <w:id w:val="125671214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Literacy ← alphknow, PALS, sightwrd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before="0" w:lineRule="auto"/>
        <w:ind w:left="720" w:hanging="360"/>
        <w:rPr/>
      </w:pPr>
      <w:sdt>
        <w:sdtPr>
          <w:id w:val="213537483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Math ← numbers, geometry, measures</w:t>
          </w:r>
        </w:sdtContent>
      </w:sdt>
    </w:p>
    <w:p w:rsidR="00000000" w:rsidDel="00000000" w:rsidP="00000000" w:rsidRDefault="00000000" w:rsidRPr="00000000" w14:paraId="00000035">
      <w:pPr>
        <w:spacing w:before="0" w:lineRule="auto"/>
        <w:rPr/>
      </w:pPr>
      <w:r w:rsidDel="00000000" w:rsidR="00000000" w:rsidRPr="00000000">
        <w:rPr>
          <w:rtl w:val="0"/>
        </w:rPr>
        <w:t xml:space="preserve">Structural paths: each latent regressed on FaInc and covariates (program, ethnic_collapsed, AgeM, I_to_N_ratio, educat).</w:t>
        <w:br w:type="textWrapping"/>
        <w:t xml:space="preserve">Clustering: random intercept by match_set for each latent.</w:t>
        <w:br w:type="textWrapping"/>
        <w:t xml:space="preserve">Missing outcomes: handled via Bayesian FIML.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-781050</wp:posOffset>
            </wp:positionH>
            <wp:positionV relativeFrom="paragraph">
              <wp:posOffset>741045</wp:posOffset>
            </wp:positionV>
            <wp:extent cx="7402595" cy="1356884"/>
            <wp:effectExtent b="0" l="0" r="0" t="0"/>
            <wp:wrapNone/>
            <wp:docPr descr="A screen shot of a computer&#10;&#10;AI-generated content may be incorrect." id="2136094978" name="image2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2595" cy="1356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before="0" w:lineRule="auto"/>
        <w:rPr/>
      </w:pPr>
      <w:r w:rsidDel="00000000" w:rsidR="00000000" w:rsidRPr="00000000">
        <w:rPr>
          <w:rtl w:val="0"/>
        </w:rPr>
        <w:t xml:space="preserve">Indicators were z-scored within each MI set for stable priors and interpretable SD-scale effects.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Fitting and pooling</w:t>
      </w:r>
    </w:p>
    <w:p w:rsidR="00000000" w:rsidDel="00000000" w:rsidP="00000000" w:rsidRDefault="00000000" w:rsidRPr="00000000" w14:paraId="0000003D">
      <w:pPr>
        <w:spacing w:before="0" w:lineRule="auto"/>
        <w:rPr/>
      </w:pPr>
      <w:r w:rsidDel="00000000" w:rsidR="00000000" w:rsidRPr="00000000">
        <w:rPr>
          <w:rtl w:val="0"/>
        </w:rPr>
        <w:t xml:space="preserve">We fit the model separately on each of the 5 MI-matched datasets (0 divergences) and pooled posteriors by concatenating chains (a Bayesian analogue to MI pooling). We report the FaInc coefficient on each latent factor in SD units.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3F">
      <w:pPr>
        <w:spacing w:before="0" w:lineRule="auto"/>
        <w:rPr/>
      </w:pPr>
      <w:r w:rsidDel="00000000" w:rsidR="00000000" w:rsidRPr="00000000">
        <w:rPr>
          <w:rtl w:val="0"/>
        </w:rPr>
        <w:t xml:space="preserve">Posterior means for the FaInc effect on Social, Literacy, and Math latent factors were near zero, and the 95% credible intervals spanned zero for all three factors—convergent with the frequentist results.</w:t>
      </w:r>
    </w:p>
    <w:p w:rsidR="00000000" w:rsidDel="00000000" w:rsidP="00000000" w:rsidRDefault="00000000" w:rsidRPr="00000000" w14:paraId="00000040">
      <w:pPr>
        <w:spacing w:before="0" w:lineRule="auto"/>
        <w:rPr/>
      </w:pPr>
      <w:r w:rsidDel="00000000" w:rsidR="00000000" w:rsidRPr="00000000">
        <w:rPr/>
        <w:drawing>
          <wp:inline distB="0" distT="0" distL="0" distR="0">
            <wp:extent cx="3639058" cy="1600423"/>
            <wp:effectExtent b="0" l="0" r="0" t="0"/>
            <wp:docPr descr="A screenshot of a computer program&#10;&#10;AI-generated content may be incorrect." id="2136094976" name="image3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rPr/>
      </w:pPr>
      <w:r w:rsidDel="00000000" w:rsidR="00000000" w:rsidRPr="00000000">
        <w:rPr>
          <w:rtl w:val="0"/>
        </w:rPr>
        <w:t xml:space="preserve"> Forest Plot of pooled Bayesian effects</w:t>
      </w:r>
    </w:p>
    <w:p w:rsidR="00000000" w:rsidDel="00000000" w:rsidP="00000000" w:rsidRDefault="00000000" w:rsidRPr="00000000" w14:paraId="00000042">
      <w:pPr>
        <w:spacing w:before="0" w:lineRule="auto"/>
        <w:rPr/>
      </w:pPr>
      <w:r w:rsidDel="00000000" w:rsidR="00000000" w:rsidRPr="00000000">
        <w:rPr/>
        <w:drawing>
          <wp:inline distB="0" distT="0" distL="0" distR="0">
            <wp:extent cx="5391150" cy="3743325"/>
            <wp:effectExtent b="0" l="0" r="0" t="0"/>
            <wp:docPr descr="A graph with lines and dots&#10;&#10;AI-generated content may be incorrect." id="2136094977" name="image1.png"/>
            <a:graphic>
              <a:graphicData uri="http://schemas.openxmlformats.org/drawingml/2006/picture">
                <pic:pic>
                  <pic:nvPicPr>
                    <pic:cNvPr descr="A graph with lines and dots&#10;&#10;AI-generated content may be incorrect.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Limitations and context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Observed-confounder design: PSM balances measured covariates; unmeasured confounding may remain.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Temporal span (to include in main paper): 10-year data window; cohort/program changes not fully identifiable beyond included covariates.</w:t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7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9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  <w:jc w:val="both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  <w:ind w:left="360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8B2C0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B2C0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B2C0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D3CDE"/>
    <w:rPr>
      <w:rFonts w:ascii="Arial" w:cs="Arial" w:hAnsi="Arial" w:eastAsiaTheme="majorEastAsia"/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rsid w:val="00E14B88"/>
    <w:rPr>
      <w:rFonts w:ascii="Arial" w:hAnsi="Arial" w:cstheme="majorBidi" w:eastAsiaTheme="majorEastAsia"/>
      <w:b w:val="1"/>
      <w:bCs w:val="1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C3924"/>
    <w:rPr>
      <w:rFonts w:ascii="Arial" w:hAnsi="Arial" w:cstheme="majorBidi" w:eastAsiaTheme="majorEastAsia"/>
      <w:b w:val="1"/>
      <w:bCs w:val="1"/>
      <w:i w:val="1"/>
      <w:iCs w:val="1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9B6115"/>
    <w:rPr>
      <w:rFonts w:ascii="Arial" w:cs="Arial" w:hAnsi="Arial" w:eastAsiaTheme="majorEastAsia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rsid w:val="008B2C0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8B2C0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sid w:val="008B2C0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B2C0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B2C0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33501"/>
    <w:rPr>
      <w:rFonts w:ascii="Arial" w:cs="Arial" w:hAnsi="Arial" w:eastAsiaTheme="majorEastAsia"/>
      <w:b w:val="1"/>
      <w:bCs w:val="1"/>
      <w:spacing w:val="-10"/>
      <w:kern w:val="28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B2C0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3C620B"/>
    <w:pPr>
      <w:ind w:left="432"/>
    </w:pPr>
  </w:style>
  <w:style w:type="paragraph" w:styleId="Quote">
    <w:name w:val="Quote"/>
    <w:basedOn w:val="Normal"/>
    <w:next w:val="Normal"/>
    <w:link w:val="QuoteChar"/>
    <w:uiPriority w:val="29"/>
    <w:qFormat w:val="1"/>
    <w:rsid w:val="008B2C0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B2C0F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B2C0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2C0F"/>
    <w:rPr>
      <w:i w:val="1"/>
      <w:iCs w:val="1"/>
      <w:color w:val="0f4761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8B2C0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B2C0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BE0A7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0A75"/>
  </w:style>
  <w:style w:type="paragraph" w:styleId="Footer">
    <w:name w:val="footer"/>
    <w:basedOn w:val="Normal"/>
    <w:link w:val="FooterChar"/>
    <w:uiPriority w:val="99"/>
    <w:unhideWhenUsed w:val="1"/>
    <w:rsid w:val="00BE0A7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0A75"/>
  </w:style>
  <w:style w:type="paragraph" w:styleId="SourceCode" w:customStyle="1">
    <w:name w:val="Source Code"/>
    <w:basedOn w:val="Normal"/>
    <w:pPr>
      <w:shd w:color="auto" w:fill="f8f8f8" w:val="clear"/>
      <w:wordWrap w:val="0"/>
    </w:pPr>
  </w:style>
  <w:style w:type="character" w:styleId="KeywordTok" w:customStyle="1">
    <w:name w:val="KeywordTok"/>
    <w:rPr>
      <w:b w:val="1"/>
      <w:color w:val="204a87"/>
      <w:shd w:color="auto" w:fill="f8f8f8" w:val="clear"/>
    </w:rPr>
  </w:style>
  <w:style w:type="character" w:styleId="DataTypeTok" w:customStyle="1">
    <w:name w:val="DataTypeTok"/>
    <w:rPr>
      <w:color w:val="204a87"/>
      <w:shd w:color="auto" w:fill="f8f8f8" w:val="clear"/>
    </w:rPr>
  </w:style>
  <w:style w:type="character" w:styleId="DecValTok" w:customStyle="1">
    <w:name w:val="DecValTok"/>
    <w:rPr>
      <w:color w:val="0000cf"/>
      <w:shd w:color="auto" w:fill="f8f8f8" w:val="clear"/>
    </w:rPr>
  </w:style>
  <w:style w:type="character" w:styleId="BaseNTok" w:customStyle="1">
    <w:name w:val="BaseNTok"/>
    <w:rPr>
      <w:color w:val="0000cf"/>
      <w:shd w:color="auto" w:fill="f8f8f8" w:val="clear"/>
    </w:rPr>
  </w:style>
  <w:style w:type="character" w:styleId="FloatTok" w:customStyle="1">
    <w:name w:val="FloatTok"/>
    <w:rPr>
      <w:color w:val="0000cf"/>
      <w:shd w:color="auto" w:fill="f8f8f8" w:val="clear"/>
    </w:rPr>
  </w:style>
  <w:style w:type="character" w:styleId="ConstantTok" w:customStyle="1">
    <w:name w:val="ConstantTok"/>
    <w:rPr>
      <w:color w:val="8f5902"/>
      <w:shd w:color="auto" w:fill="f8f8f8" w:val="clear"/>
    </w:rPr>
  </w:style>
  <w:style w:type="character" w:styleId="CharTok" w:customStyle="1">
    <w:name w:val="CharTok"/>
    <w:rPr>
      <w:color w:val="4e9a06"/>
      <w:shd w:color="auto" w:fill="f8f8f8" w:val="clear"/>
    </w:rPr>
  </w:style>
  <w:style w:type="character" w:styleId="SpecialCharTok" w:customStyle="1">
    <w:name w:val="SpecialCharTok"/>
    <w:rPr>
      <w:b w:val="1"/>
      <w:color w:val="ce5c00"/>
      <w:shd w:color="auto" w:fill="f8f8f8" w:val="clear"/>
    </w:rPr>
  </w:style>
  <w:style w:type="character" w:styleId="StringTok" w:customStyle="1">
    <w:name w:val="StringTok"/>
    <w:rPr>
      <w:color w:val="4e9a06"/>
      <w:shd w:color="auto" w:fill="f8f8f8" w:val="clear"/>
    </w:rPr>
  </w:style>
  <w:style w:type="character" w:styleId="VerbatimStringTok" w:customStyle="1">
    <w:name w:val="VerbatimStringTok"/>
    <w:rPr>
      <w:color w:val="4e9a06"/>
      <w:shd w:color="auto" w:fill="f8f8f8" w:val="clear"/>
    </w:rPr>
  </w:style>
  <w:style w:type="character" w:styleId="SpecialStringTok" w:customStyle="1">
    <w:name w:val="SpecialStringTok"/>
    <w:rPr>
      <w:color w:val="4e9a06"/>
      <w:shd w:color="auto" w:fill="f8f8f8" w:val="clear"/>
    </w:rPr>
  </w:style>
  <w:style w:type="character" w:styleId="ImportTok" w:customStyle="1">
    <w:name w:val="ImportTok"/>
    <w:rPr>
      <w:shd w:color="auto" w:fill="f8f8f8" w:val="clear"/>
    </w:rPr>
  </w:style>
  <w:style w:type="character" w:styleId="CommentTok" w:customStyle="1">
    <w:name w:val="CommentTok"/>
    <w:rPr>
      <w:i w:val="1"/>
      <w:color w:val="8f5902"/>
      <w:shd w:color="auto" w:fill="f8f8f8" w:val="clear"/>
    </w:rPr>
  </w:style>
  <w:style w:type="character" w:styleId="DocumentationTok" w:customStyle="1">
    <w:name w:val="DocumentationTok"/>
    <w:rPr>
      <w:b w:val="1"/>
      <w:i w:val="1"/>
      <w:color w:val="8f5902"/>
      <w:shd w:color="auto" w:fill="f8f8f8" w:val="clear"/>
    </w:rPr>
  </w:style>
  <w:style w:type="character" w:styleId="AnnotationTok" w:customStyle="1">
    <w:name w:val="AnnotationTok"/>
    <w:rPr>
      <w:b w:val="1"/>
      <w:i w:val="1"/>
      <w:color w:val="8f5902"/>
      <w:shd w:color="auto" w:fill="f8f8f8" w:val="clear"/>
    </w:rPr>
  </w:style>
  <w:style w:type="character" w:styleId="CommentVarTok" w:customStyle="1">
    <w:name w:val="CommentVarTok"/>
    <w:rPr>
      <w:b w:val="1"/>
      <w:i w:val="1"/>
      <w:color w:val="8f5902"/>
      <w:shd w:color="auto" w:fill="f8f8f8" w:val="clear"/>
    </w:rPr>
  </w:style>
  <w:style w:type="character" w:styleId="OtherTok" w:customStyle="1">
    <w:name w:val="OtherTok"/>
    <w:rPr>
      <w:color w:val="8f5902"/>
      <w:shd w:color="auto" w:fill="f8f8f8" w:val="clear"/>
    </w:rPr>
  </w:style>
  <w:style w:type="character" w:styleId="FunctionTok" w:customStyle="1">
    <w:name w:val="FunctionTok"/>
    <w:rPr>
      <w:b w:val="1"/>
      <w:color w:val="204a87"/>
      <w:shd w:color="auto" w:fill="f8f8f8" w:val="clear"/>
    </w:rPr>
  </w:style>
  <w:style w:type="character" w:styleId="VariableTok" w:customStyle="1">
    <w:name w:val="VariableTok"/>
    <w:rPr>
      <w:color w:val="000000"/>
      <w:shd w:color="auto" w:fill="f8f8f8" w:val="clear"/>
    </w:rPr>
  </w:style>
  <w:style w:type="character" w:styleId="ControlFlowTok" w:customStyle="1">
    <w:name w:val="ControlFlowTok"/>
    <w:rPr>
      <w:b w:val="1"/>
      <w:color w:val="204a87"/>
      <w:shd w:color="auto" w:fill="f8f8f8" w:val="clear"/>
    </w:rPr>
  </w:style>
  <w:style w:type="character" w:styleId="OperatorTok" w:customStyle="1">
    <w:name w:val="OperatorTok"/>
    <w:rPr>
      <w:b w:val="1"/>
      <w:color w:val="ce5c00"/>
      <w:shd w:color="auto" w:fill="f8f8f8" w:val="clear"/>
    </w:rPr>
  </w:style>
  <w:style w:type="character" w:styleId="BuiltInTok" w:customStyle="1">
    <w:name w:val="BuiltInTok"/>
    <w:rPr>
      <w:shd w:color="auto" w:fill="f8f8f8" w:val="clear"/>
    </w:rPr>
  </w:style>
  <w:style w:type="character" w:styleId="ExtensionTok" w:customStyle="1">
    <w:name w:val="ExtensionTok"/>
    <w:rPr>
      <w:shd w:color="auto" w:fill="f8f8f8" w:val="clear"/>
    </w:rPr>
  </w:style>
  <w:style w:type="character" w:styleId="PreprocessorTok" w:customStyle="1">
    <w:name w:val="PreprocessorTok"/>
    <w:rPr>
      <w:i w:val="1"/>
      <w:color w:val="8f5902"/>
      <w:shd w:color="auto" w:fill="f8f8f8" w:val="clear"/>
    </w:rPr>
  </w:style>
  <w:style w:type="character" w:styleId="AttributeTok" w:customStyle="1">
    <w:name w:val="AttributeTok"/>
    <w:rPr>
      <w:color w:val="204a87"/>
      <w:shd w:color="auto" w:fill="f8f8f8" w:val="clear"/>
    </w:rPr>
  </w:style>
  <w:style w:type="character" w:styleId="RegionMarkerTok" w:customStyle="1">
    <w:name w:val="RegionMarkerTok"/>
    <w:rPr>
      <w:shd w:color="auto" w:fill="f8f8f8" w:val="clear"/>
    </w:rPr>
  </w:style>
  <w:style w:type="character" w:styleId="InformationTok" w:customStyle="1">
    <w:name w:val="InformationTok"/>
    <w:rPr>
      <w:b w:val="1"/>
      <w:i w:val="1"/>
      <w:color w:val="8f5902"/>
      <w:shd w:color="auto" w:fill="f8f8f8" w:val="clear"/>
    </w:rPr>
  </w:style>
  <w:style w:type="character" w:styleId="WarningTok" w:customStyle="1">
    <w:name w:val="WarningTok"/>
    <w:rPr>
      <w:b w:val="1"/>
      <w:i w:val="1"/>
      <w:color w:val="8f5902"/>
      <w:shd w:color="auto" w:fill="f8f8f8" w:val="clear"/>
    </w:rPr>
  </w:style>
  <w:style w:type="character" w:styleId="AlertTok" w:customStyle="1">
    <w:name w:val="AlertTok"/>
    <w:rPr>
      <w:color w:val="ef2929"/>
      <w:shd w:color="auto" w:fill="f8f8f8" w:val="clear"/>
    </w:rPr>
  </w:style>
  <w:style w:type="character" w:styleId="ErrorTok" w:customStyle="1">
    <w:name w:val="ErrorTok"/>
    <w:rPr>
      <w:b w:val="1"/>
      <w:color w:val="a40000"/>
      <w:shd w:color="auto" w:fill="f8f8f8" w:val="clear"/>
    </w:rPr>
  </w:style>
  <w:style w:type="character" w:styleId="NormalTok" w:customStyle="1">
    <w:name w:val="NormalTok"/>
    <w:rPr>
      <w:shd w:color="auto" w:fill="f8f8f8" w:val="clea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845F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845F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845FF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0845FF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unhideWhenUsed w:val="1"/>
    <w:rsid w:val="000845FF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unhideWhenUsed w:val="1"/>
    <w:rsid w:val="000845FF"/>
    <w:pPr>
      <w:spacing w:after="100" w:line="278" w:lineRule="auto"/>
      <w:ind w:left="1200"/>
    </w:pPr>
    <w:rPr>
      <w:kern w:val="2"/>
      <w:sz w:val="24"/>
      <w:szCs w:val="24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0845FF"/>
    <w:pPr>
      <w:spacing w:after="100" w:line="278" w:lineRule="auto"/>
      <w:ind w:left="1440"/>
    </w:pPr>
    <w:rPr>
      <w:kern w:val="2"/>
      <w:sz w:val="24"/>
      <w:szCs w:val="24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0845FF"/>
    <w:pPr>
      <w:spacing w:after="100" w:line="278" w:lineRule="auto"/>
      <w:ind w:left="1680"/>
    </w:pPr>
    <w:rPr>
      <w:kern w:val="2"/>
      <w:sz w:val="24"/>
      <w:szCs w:val="24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0845FF"/>
    <w:pPr>
      <w:spacing w:after="100" w:line="278" w:lineRule="auto"/>
      <w:ind w:left="1920"/>
    </w:pPr>
    <w:rPr>
      <w:kern w:val="2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084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5F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F24BA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24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24BAC"/>
    <w:pPr>
      <w:autoSpaceDE w:val="0"/>
      <w:autoSpaceDN w:val="0"/>
      <w:adjustRightInd w:val="0"/>
      <w:spacing w:after="0" w:line="240" w:lineRule="auto"/>
    </w:pPr>
    <w:rPr>
      <w:color w:val="222222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24BAC"/>
    <w:rPr>
      <w:rFonts w:ascii="Arial" w:cs="Arial" w:hAnsi="Arial"/>
      <w:color w:val="222222"/>
      <w:sz w:val="20"/>
      <w:szCs w:val="20"/>
    </w:rPr>
  </w:style>
  <w:style w:type="paragraph" w:styleId="Table" w:customStyle="1">
    <w:name w:val="Table"/>
    <w:basedOn w:val="Normal"/>
    <w:qFormat w:val="1"/>
    <w:rsid w:val="00F62D03"/>
    <w:pPr>
      <w:autoSpaceDE w:val="0"/>
      <w:autoSpaceDN w:val="0"/>
      <w:adjustRightInd w:val="0"/>
      <w:spacing w:line="240" w:lineRule="auto"/>
    </w:pPr>
    <w:rPr>
      <w:color w:val="222222"/>
      <w:sz w:val="20"/>
    </w:rPr>
  </w:style>
  <w:style w:type="paragraph" w:styleId="NumberedList" w:customStyle="1">
    <w:name w:val="Numbered List"/>
    <w:basedOn w:val="ListParagraph"/>
    <w:link w:val="NumberedListChar"/>
    <w:uiPriority w:val="3"/>
    <w:qFormat w:val="1"/>
    <w:rsid w:val="001000BE"/>
    <w:pPr>
      <w:numPr>
        <w:numId w:val="6"/>
      </w:numPr>
      <w:tabs>
        <w:tab w:val="left" w:pos="3795"/>
      </w:tabs>
      <w:autoSpaceDE w:val="0"/>
      <w:autoSpaceDN w:val="0"/>
      <w:adjustRightInd w:val="0"/>
      <w:spacing w:after="0" w:before="0" w:line="480" w:lineRule="auto"/>
      <w:ind w:hanging="360"/>
    </w:pPr>
    <w:rPr>
      <w:color w:val="222222"/>
    </w:rPr>
  </w:style>
  <w:style w:type="character" w:styleId="NumberedListChar" w:customStyle="1">
    <w:name w:val="Numbered List Char"/>
    <w:basedOn w:val="DefaultParagraphFont"/>
    <w:link w:val="NumberedList"/>
    <w:uiPriority w:val="3"/>
    <w:rsid w:val="001000BE"/>
    <w:rPr>
      <w:rFonts w:ascii="Arial" w:cs="Arial" w:hAnsi="Arial"/>
      <w:color w:val="222222"/>
    </w:rPr>
  </w:style>
  <w:style w:type="paragraph" w:styleId="Subtitle">
    <w:name w:val="Subtitle"/>
    <w:basedOn w:val="Normal"/>
    <w:next w:val="Normal"/>
    <w:pPr>
      <w:ind w:firstLine="72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UFarppPrueR3PR6AC9EV+OpTg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4AHIhMVdQX29ReXpjX2lpd0lqQW5ta3VDa0dmM2FDUGRsR2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2025-10-07T00:23:00Z</dcterms:created>
  <dc:creator>Oxana Rosca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8a980991-b119-46ee-8628-008e0c793c3c</vt:lpwstr>
  </property>
</Properties>
</file>