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E5DAC" w14:textId="450DEEDD" w:rsidR="00886745" w:rsidRDefault="005F2D2F" w:rsidP="005F2D2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演習課題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レポート</w:t>
      </w:r>
    </w:p>
    <w:p w14:paraId="42917E89" w14:textId="5F01711B" w:rsidR="005F2D2F" w:rsidRDefault="005F2D2F" w:rsidP="005F2D2F">
      <w:pPr>
        <w:jc w:val="right"/>
        <w:rPr>
          <w:szCs w:val="21"/>
        </w:rPr>
      </w:pPr>
      <w:r>
        <w:rPr>
          <w:rFonts w:hint="eastAsia"/>
          <w:szCs w:val="21"/>
        </w:rPr>
        <w:t>0</w:t>
      </w:r>
      <w:r>
        <w:rPr>
          <w:szCs w:val="21"/>
        </w:rPr>
        <w:t>500319521</w:t>
      </w:r>
    </w:p>
    <w:p w14:paraId="555CF066" w14:textId="6BCB57B8" w:rsidR="005F2D2F" w:rsidRDefault="005F2D2F" w:rsidP="005F2D2F">
      <w:pPr>
        <w:wordWrap w:val="0"/>
        <w:jc w:val="right"/>
        <w:rPr>
          <w:szCs w:val="21"/>
        </w:rPr>
      </w:pPr>
      <w:r>
        <w:rPr>
          <w:rFonts w:hint="eastAsia"/>
          <w:szCs w:val="21"/>
        </w:rPr>
        <w:t>尾崎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凌明</w:t>
      </w:r>
    </w:p>
    <w:p w14:paraId="1CD42B9C" w14:textId="77777777" w:rsidR="005F2D2F" w:rsidRDefault="005F2D2F" w:rsidP="005F2D2F">
      <w:pPr>
        <w:pStyle w:val="a3"/>
        <w:numPr>
          <w:ilvl w:val="0"/>
          <w:numId w:val="1"/>
        </w:numPr>
        <w:ind w:leftChars="0" w:right="105"/>
        <w:jc w:val="left"/>
        <w:rPr>
          <w:szCs w:val="21"/>
        </w:rPr>
      </w:pPr>
      <w:r>
        <w:rPr>
          <w:rFonts w:hint="eastAsia"/>
          <w:szCs w:val="21"/>
        </w:rPr>
        <w:t>計算</w:t>
      </w:r>
    </w:p>
    <w:p w14:paraId="1299CD9A" w14:textId="77777777" w:rsidR="005F2D2F" w:rsidRDefault="005F2D2F" w:rsidP="005F2D2F">
      <w:pPr>
        <w:pStyle w:val="a3"/>
        <w:ind w:leftChars="0" w:left="420" w:right="105"/>
        <w:jc w:val="left"/>
        <w:rPr>
          <w:szCs w:val="21"/>
        </w:rPr>
      </w:pPr>
      <w:r>
        <w:rPr>
          <w:rFonts w:hint="eastAsia"/>
          <w:szCs w:val="21"/>
        </w:rPr>
        <w:t>拡散方程式</w:t>
      </w:r>
    </w:p>
    <w:p w14:paraId="31713CD3" w14:textId="77777777" w:rsidR="005F2D2F" w:rsidRPr="002B2BF2" w:rsidRDefault="0045106B" w:rsidP="005F2D2F">
      <w:pPr>
        <w:pStyle w:val="a3"/>
        <w:ind w:leftChars="0" w:left="420" w:right="105"/>
        <w:jc w:val="left"/>
        <w:rPr>
          <w:i/>
          <w:iCs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∂u</m:t>
              </m:r>
            </m:num>
            <m:den>
              <m:r>
                <w:rPr>
                  <w:rFonts w:ascii="Cambria Math" w:hAnsi="Cambria Math"/>
                  <w:szCs w:val="21"/>
                </w:rPr>
                <m:t>∂t</m:t>
              </m:r>
            </m:den>
          </m:f>
          <m:r>
            <w:rPr>
              <w:rFonts w:ascii="Cambria Math" w:hAnsi="Cambria Math"/>
              <w:szCs w:val="21"/>
            </w:rPr>
            <m:t>=σ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u</m:t>
              </m:r>
            </m:num>
            <m:den>
              <m:r>
                <w:rPr>
                  <w:rFonts w:ascii="Cambria Math" w:hAnsi="Cambria Math"/>
                  <w:szCs w:val="21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den>
          </m:f>
        </m:oMath>
      </m:oMathPara>
    </w:p>
    <w:p w14:paraId="6037471D" w14:textId="77777777" w:rsidR="005F2D2F" w:rsidRDefault="005F2D2F" w:rsidP="005F2D2F">
      <w:pPr>
        <w:pStyle w:val="a3"/>
        <w:ind w:leftChars="0" w:left="420" w:right="105"/>
        <w:jc w:val="left"/>
        <w:rPr>
          <w:szCs w:val="21"/>
        </w:rPr>
      </w:pPr>
      <w:r>
        <w:rPr>
          <w:rFonts w:hint="eastAsia"/>
          <w:szCs w:val="21"/>
        </w:rPr>
        <w:t>を、初期値</w:t>
      </w:r>
    </w:p>
    <w:p w14:paraId="43B002EB" w14:textId="6761DC5A" w:rsidR="005F2D2F" w:rsidRPr="002B2BF2" w:rsidRDefault="005F2D2F" w:rsidP="005F2D2F">
      <w:pPr>
        <w:pStyle w:val="a3"/>
        <w:ind w:leftChars="0" w:left="420" w:right="105"/>
        <w:jc w:val="left"/>
        <w:rPr>
          <w:iCs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x,0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4σ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  <w:szCs w:val="21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=1/50</m:t>
              </m:r>
            </m:e>
          </m:d>
        </m:oMath>
      </m:oMathPara>
    </w:p>
    <w:p w14:paraId="72F127D3" w14:textId="786D3B60" w:rsidR="005F2D2F" w:rsidRDefault="005F2D2F" w:rsidP="005F2D2F">
      <w:pPr>
        <w:pStyle w:val="a3"/>
        <w:ind w:leftChars="0" w:left="420" w:right="105"/>
        <w:jc w:val="left"/>
        <w:rPr>
          <w:iCs/>
          <w:szCs w:val="21"/>
        </w:rPr>
      </w:pPr>
      <w:r>
        <w:rPr>
          <w:rFonts w:hint="eastAsia"/>
          <w:iCs/>
          <w:szCs w:val="21"/>
        </w:rPr>
        <w:t>についてディリクレ境界条件、ノイマン境界条件それぞれについて解いた。</w:t>
      </w:r>
    </w:p>
    <w:p w14:paraId="118BD501" w14:textId="04300920" w:rsidR="00695DFA" w:rsidRPr="00695DFA" w:rsidRDefault="00695DFA" w:rsidP="005F2D2F">
      <w:pPr>
        <w:pStyle w:val="a3"/>
        <w:ind w:leftChars="0" w:left="420" w:right="105"/>
        <w:jc w:val="left"/>
        <w:rPr>
          <w:i/>
          <w:iCs/>
          <w:szCs w:val="21"/>
        </w:rPr>
      </w:pPr>
      <w:r>
        <w:rPr>
          <w:rFonts w:hint="eastAsia"/>
          <w:iCs/>
          <w:szCs w:val="21"/>
        </w:rPr>
        <w:t>ただし</w:t>
      </w:r>
      <m:oMath>
        <m:r>
          <w:rPr>
            <w:rFonts w:ascii="Cambria Math" w:hAnsi="Cambria Math"/>
            <w:szCs w:val="21"/>
          </w:rPr>
          <m:t>x</m:t>
        </m:r>
      </m:oMath>
      <w:r>
        <w:rPr>
          <w:rFonts w:hint="eastAsia"/>
          <w:iCs/>
          <w:szCs w:val="21"/>
        </w:rPr>
        <w:t>、</w:t>
      </w:r>
      <m:oMath>
        <m:r>
          <w:rPr>
            <w:rFonts w:ascii="Cambria Math" w:hAnsi="Cambria Math"/>
            <w:szCs w:val="21"/>
          </w:rPr>
          <m:t>t</m:t>
        </m:r>
      </m:oMath>
      <w:r>
        <w:rPr>
          <w:rFonts w:hint="eastAsia"/>
          <w:iCs/>
          <w:szCs w:val="21"/>
        </w:rPr>
        <w:t>それぞれの刻み幅は</w:t>
      </w:r>
      <m:oMath>
        <m:r>
          <m:rPr>
            <m:sty m:val="p"/>
          </m:rPr>
          <w:rPr>
            <w:rFonts w:ascii="Cambria Math" w:hAnsi="Cambria Math"/>
            <w:szCs w:val="21"/>
          </w:rPr>
          <m:t>Δ</m:t>
        </m:r>
        <m:r>
          <w:rPr>
            <w:rFonts w:ascii="Cambria Math" w:hAnsi="Cambria Math"/>
            <w:szCs w:val="21"/>
          </w:rPr>
          <m:t>x=1/J</m:t>
        </m:r>
      </m:oMath>
      <w:proofErr w:type="gramStart"/>
      <w:r>
        <w:rPr>
          <w:rFonts w:hint="eastAsia"/>
          <w:iCs/>
          <w:szCs w:val="21"/>
        </w:rPr>
        <w:t>、</w:t>
      </w:r>
      <m:oMath>
        <m:r>
          <m:rPr>
            <m:sty m:val="p"/>
          </m:rPr>
          <w:rPr>
            <w:rFonts w:ascii="Cambria Math" w:hAnsi="Cambria Math"/>
            <w:szCs w:val="21"/>
          </w:rPr>
          <m:t>Δ</m:t>
        </m:r>
        <m:r>
          <w:rPr>
            <w:rFonts w:ascii="Cambria Math" w:hAnsi="Cambria Math"/>
            <w:szCs w:val="21"/>
          </w:rPr>
          <m:t>t=</m:t>
        </m:r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Δ</m:t>
                </m:r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L/(2σ)</m:t>
        </m:r>
      </m:oMath>
      <w:r>
        <w:rPr>
          <w:rFonts w:hint="eastAsia"/>
          <w:iCs/>
          <w:szCs w:val="21"/>
        </w:rPr>
        <w:t>、</w:t>
      </w:r>
      <m:oMath>
        <m:r>
          <w:rPr>
            <w:rFonts w:ascii="Cambria Math" w:hAnsi="Cambria Math"/>
            <w:szCs w:val="21"/>
          </w:rPr>
          <m:t>L=1/3</m:t>
        </m:r>
      </m:oMath>
      <w:r>
        <w:rPr>
          <w:rFonts w:hint="eastAsia"/>
          <w:iCs/>
          <w:szCs w:val="21"/>
        </w:rPr>
        <w:t>、</w:t>
      </w:r>
      <w:proofErr w:type="gramEnd"/>
      <m:oMath>
        <m:r>
          <w:rPr>
            <w:rFonts w:ascii="Cambria Math" w:hAnsi="Cambria Math"/>
            <w:szCs w:val="21"/>
          </w:rPr>
          <m:t>J=100</m:t>
        </m:r>
      </m:oMath>
      <w:r>
        <w:rPr>
          <w:rFonts w:hint="eastAsia"/>
          <w:iCs/>
          <w:szCs w:val="21"/>
        </w:rPr>
        <w:t>とした。</w:t>
      </w:r>
    </w:p>
    <w:p w14:paraId="368C8B3A" w14:textId="1970A4DA" w:rsidR="005F2D2F" w:rsidRDefault="00695DFA" w:rsidP="005F2D2F">
      <w:pPr>
        <w:pStyle w:val="a3"/>
        <w:ind w:leftChars="0" w:left="420" w:right="105"/>
        <w:jc w:val="left"/>
        <w:rPr>
          <w:iCs/>
          <w:szCs w:val="21"/>
        </w:rPr>
      </w:pPr>
      <w:r>
        <w:rPr>
          <w:rFonts w:hint="eastAsia"/>
          <w:iCs/>
          <w:szCs w:val="21"/>
        </w:rPr>
        <w:t>また、</w:t>
      </w:r>
      <w:r w:rsidR="005F2D2F">
        <w:rPr>
          <w:rFonts w:hint="eastAsia"/>
          <w:iCs/>
          <w:szCs w:val="21"/>
        </w:rPr>
        <w:t>プログラムには前回作成した</w:t>
      </w:r>
      <w:r w:rsidR="005F2D2F">
        <w:rPr>
          <w:iCs/>
          <w:szCs w:val="21"/>
        </w:rPr>
        <w:t>”PDE”</w:t>
      </w:r>
      <w:r w:rsidR="005F2D2F">
        <w:rPr>
          <w:rFonts w:hint="eastAsia"/>
          <w:iCs/>
          <w:szCs w:val="21"/>
        </w:rPr>
        <w:t>クラスを</w:t>
      </w:r>
      <w:r>
        <w:rPr>
          <w:rFonts w:hint="eastAsia"/>
          <w:iCs/>
          <w:szCs w:val="21"/>
        </w:rPr>
        <w:t>、</w:t>
      </w:r>
      <w:r w:rsidR="005F2D2F">
        <w:rPr>
          <w:rFonts w:hint="eastAsia"/>
          <w:iCs/>
          <w:szCs w:val="21"/>
        </w:rPr>
        <w:t>ディリクレ境界条件、ノイマン境界条件どちらでも使えるように改良したものを用いた。</w:t>
      </w:r>
      <w:r w:rsidR="0038608E">
        <w:rPr>
          <w:rFonts w:hint="eastAsia"/>
          <w:iCs/>
          <w:szCs w:val="21"/>
        </w:rPr>
        <w:t>今回のノイマン条件では、端点の微分係数は</w:t>
      </w:r>
      <w:r w:rsidR="0038608E">
        <w:rPr>
          <w:iCs/>
          <w:szCs w:val="21"/>
        </w:rPr>
        <w:t>0</w:t>
      </w:r>
      <w:r w:rsidR="0038608E">
        <w:rPr>
          <w:rFonts w:hint="eastAsia"/>
          <w:iCs/>
          <w:szCs w:val="21"/>
        </w:rPr>
        <w:t>となっているが、今後</w:t>
      </w:r>
      <w:r w:rsidR="0038608E">
        <w:rPr>
          <w:iCs/>
          <w:szCs w:val="21"/>
        </w:rPr>
        <w:t>0</w:t>
      </w:r>
      <w:r w:rsidR="0038608E">
        <w:rPr>
          <w:rFonts w:hint="eastAsia"/>
          <w:iCs/>
          <w:szCs w:val="21"/>
        </w:rPr>
        <w:t>でない場合の計算をすることも考えて、改良においては微分係数を自由に与えられるようにしている。</w:t>
      </w:r>
    </w:p>
    <w:p w14:paraId="01B8BE94" w14:textId="65E7F632" w:rsidR="00695DFA" w:rsidRDefault="00695DFA" w:rsidP="00695DFA">
      <w:pPr>
        <w:pStyle w:val="a3"/>
        <w:numPr>
          <w:ilvl w:val="0"/>
          <w:numId w:val="1"/>
        </w:numPr>
        <w:ind w:leftChars="0" w:right="105"/>
        <w:jc w:val="left"/>
        <w:rPr>
          <w:iCs/>
          <w:szCs w:val="21"/>
        </w:rPr>
      </w:pPr>
      <w:r>
        <w:rPr>
          <w:rFonts w:hint="eastAsia"/>
          <w:iCs/>
          <w:szCs w:val="21"/>
        </w:rPr>
        <w:t>計算結果</w:t>
      </w:r>
    </w:p>
    <w:p w14:paraId="0EDCDAA5" w14:textId="6003CFEA" w:rsidR="00695DFA" w:rsidRDefault="00695DFA" w:rsidP="00695DFA">
      <w:pPr>
        <w:ind w:left="420" w:right="105"/>
        <w:jc w:val="left"/>
        <w:rPr>
          <w:iCs/>
          <w:szCs w:val="21"/>
        </w:rPr>
      </w:pPr>
      <w:r>
        <w:rPr>
          <w:rFonts w:hint="eastAsia"/>
          <w:iCs/>
          <w:szCs w:val="21"/>
        </w:rPr>
        <w:t>ディリクレ境界条件、ノイマン境界条件それぞれの計算結果は以下のようになった。</w:t>
      </w:r>
      <w:r w:rsidR="00894013">
        <w:rPr>
          <w:rFonts w:hint="eastAsia"/>
          <w:iCs/>
          <w:szCs w:val="21"/>
        </w:rPr>
        <w:t>（図１、図２）</w:t>
      </w:r>
    </w:p>
    <w:p w14:paraId="43EBA86C" w14:textId="77777777" w:rsidR="00894013" w:rsidRDefault="00894013" w:rsidP="00894013">
      <w:pPr>
        <w:keepNext/>
        <w:ind w:left="420" w:right="105"/>
        <w:jc w:val="left"/>
      </w:pPr>
      <w:r>
        <w:rPr>
          <w:iCs/>
          <w:noProof/>
          <w:szCs w:val="21"/>
        </w:rPr>
        <w:drawing>
          <wp:inline distT="0" distB="0" distL="0" distR="0" wp14:anchorId="5DBE6FC0" wp14:editId="746256A5">
            <wp:extent cx="3515498" cy="1811544"/>
            <wp:effectExtent l="0" t="0" r="2540" b="5080"/>
            <wp:docPr id="1" name="図 1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&#10;&#10;自動的に生成された説明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88" t="10982" r="9451" b="4343"/>
                    <a:stretch/>
                  </pic:blipFill>
                  <pic:spPr bwMode="auto">
                    <a:xfrm>
                      <a:off x="0" y="0"/>
                      <a:ext cx="3602371" cy="1856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48A20" w14:textId="2B2ACD87" w:rsidR="00894013" w:rsidRDefault="00894013" w:rsidP="00894013">
      <w:pPr>
        <w:pStyle w:val="a5"/>
        <w:jc w:val="left"/>
        <w:rPr>
          <w:iCs/>
        </w:rPr>
      </w:pPr>
      <w:r>
        <w:t xml:space="preserve">図 </w:t>
      </w:r>
      <w:fldSimple w:instr=" SEQ 図 \* ARABIC ">
        <w:r>
          <w:rPr>
            <w:noProof/>
          </w:rPr>
          <w:t>1</w:t>
        </w:r>
      </w:fldSimple>
      <w:r>
        <w:rPr>
          <w:rFonts w:hint="eastAsia"/>
        </w:rPr>
        <w:t xml:space="preserve">　ディリクレ条件</w:t>
      </w:r>
    </w:p>
    <w:p w14:paraId="1B7820BC" w14:textId="77777777" w:rsidR="00894013" w:rsidRDefault="00894013" w:rsidP="00894013">
      <w:pPr>
        <w:keepNext/>
        <w:ind w:left="420" w:right="105"/>
        <w:jc w:val="left"/>
      </w:pPr>
      <w:r>
        <w:rPr>
          <w:rFonts w:hint="eastAsia"/>
          <w:iCs/>
          <w:noProof/>
          <w:szCs w:val="21"/>
        </w:rPr>
        <w:drawing>
          <wp:inline distT="0" distB="0" distL="0" distR="0" wp14:anchorId="14E1CCD8" wp14:editId="47ADE006">
            <wp:extent cx="3515360" cy="1811470"/>
            <wp:effectExtent l="0" t="0" r="2540" b="5080"/>
            <wp:docPr id="2" name="図 2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&#10;&#10;自動的に生成された説明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88" t="10982" r="9451" b="4343"/>
                    <a:stretch/>
                  </pic:blipFill>
                  <pic:spPr bwMode="auto">
                    <a:xfrm>
                      <a:off x="0" y="0"/>
                      <a:ext cx="3568319" cy="183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888DB" w14:textId="10B08B0C" w:rsidR="00894013" w:rsidRPr="0045106B" w:rsidRDefault="00894013" w:rsidP="0045106B">
      <w:pPr>
        <w:pStyle w:val="a5"/>
        <w:jc w:val="left"/>
      </w:pPr>
      <w:r>
        <w:t xml:space="preserve">図 </w:t>
      </w:r>
      <w:fldSimple w:instr=" SEQ 図 \* ARABIC ">
        <w:r>
          <w:rPr>
            <w:noProof/>
          </w:rPr>
          <w:t>2</w:t>
        </w:r>
      </w:fldSimple>
      <w:r>
        <w:rPr>
          <w:rFonts w:hint="eastAsia"/>
        </w:rPr>
        <w:t xml:space="preserve">　ノイマン条件</w:t>
      </w:r>
    </w:p>
    <w:p w14:paraId="1FCF1389" w14:textId="2055D5C7" w:rsidR="009C6BF1" w:rsidRDefault="00894013" w:rsidP="009C6BF1">
      <w:pPr>
        <w:pStyle w:val="a5"/>
        <w:numPr>
          <w:ilvl w:val="0"/>
          <w:numId w:val="1"/>
        </w:numPr>
        <w:jc w:val="left"/>
        <w:rPr>
          <w:b w:val="0"/>
          <w:bCs w:val="0"/>
          <w:iCs/>
        </w:rPr>
      </w:pPr>
      <w:r w:rsidRPr="00894013">
        <w:rPr>
          <w:rFonts w:hint="eastAsia"/>
          <w:b w:val="0"/>
          <w:bCs w:val="0"/>
          <w:iCs/>
        </w:rPr>
        <w:lastRenderedPageBreak/>
        <w:t>考察</w:t>
      </w:r>
    </w:p>
    <w:p w14:paraId="32A956DF" w14:textId="446D1ECB" w:rsidR="00590D4E" w:rsidRDefault="00590D4E" w:rsidP="00590D4E">
      <w:pPr>
        <w:ind w:left="420"/>
      </w:pPr>
      <w:r>
        <w:rPr>
          <w:rFonts w:hint="eastAsia"/>
        </w:rPr>
        <w:t>まず拡散方程式が収束すると仮定すると</w:t>
      </w:r>
      <m:oMath>
        <m:r>
          <w:rPr>
            <w:rFonts w:ascii="Cambria Math" w:hAnsi="Cambria Math"/>
          </w:rPr>
          <m:t>t→∞</m:t>
        </m:r>
      </m:oMath>
      <w:r>
        <w:rPr>
          <w:rFonts w:hint="eastAsia"/>
        </w:rPr>
        <w:t>で、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=0</m:t>
        </m:r>
      </m:oMath>
      <w:r>
        <w:rPr>
          <w:rFonts w:hint="eastAsia"/>
        </w:rPr>
        <w:t>となるので、</w:t>
      </w:r>
    </w:p>
    <w:p w14:paraId="2063F075" w14:textId="7B4A76EE" w:rsidR="00590D4E" w:rsidRPr="00590D4E" w:rsidRDefault="0045106B" w:rsidP="00590D4E">
      <w:pPr>
        <w:ind w:left="4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72C190E7" w14:textId="5469B88E" w:rsidR="00590D4E" w:rsidRPr="00590D4E" w:rsidRDefault="00590D4E" w:rsidP="00590D4E">
      <w:pPr>
        <w:ind w:left="420"/>
        <w:rPr>
          <w:i/>
        </w:rPr>
      </w:pPr>
      <w:r>
        <w:rPr>
          <w:rFonts w:hint="eastAsia"/>
        </w:rPr>
        <w:t>となり、境界条件に関わらず</w:t>
      </w:r>
      <m:oMath>
        <m:r>
          <w:rPr>
            <w:rFonts w:ascii="Cambria Math" w:hAnsi="Cambria Math"/>
          </w:rPr>
          <m:t>u</m:t>
        </m:r>
      </m:oMath>
      <w:proofErr w:type="gramStart"/>
      <w:r>
        <w:rPr>
          <w:rFonts w:hint="eastAsia"/>
        </w:rPr>
        <w:t>は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に</w:t>
      </w:r>
      <w:proofErr w:type="gramEnd"/>
      <w:r>
        <w:rPr>
          <w:rFonts w:hint="eastAsia"/>
        </w:rPr>
        <w:t>関して直線に近づくとわかる。実際、図１、図２ともに、曲線は直線に近づいていることが確認できる。</w:t>
      </w:r>
    </w:p>
    <w:p w14:paraId="5CA34812" w14:textId="26F3E491" w:rsidR="009C6BF1" w:rsidRDefault="00590D4E" w:rsidP="009C6BF1">
      <w:pPr>
        <w:ind w:left="420"/>
      </w:pPr>
      <w:r>
        <w:rPr>
          <w:rFonts w:hint="eastAsia"/>
        </w:rPr>
        <w:t>図１において、</w:t>
      </w:r>
      <w:r w:rsidR="009C6BF1">
        <w:rPr>
          <w:rFonts w:hint="eastAsia"/>
        </w:rPr>
        <w:t>ディリクレ条件は固定端条件なので</w:t>
      </w:r>
      <w:r>
        <w:rPr>
          <w:rFonts w:hint="eastAsia"/>
        </w:rPr>
        <w:t>端点の値が常に一定になっており、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は端点の値をつなぐ直線に近づいている。</w:t>
      </w:r>
      <w:r w:rsidR="00381B63">
        <w:rPr>
          <w:rFonts w:hint="eastAsia"/>
        </w:rPr>
        <w:t>また、固定端から常に熱が供給されているため全体の熱量（グラフの面積）が増えていっていることがわかる。</w:t>
      </w:r>
    </w:p>
    <w:p w14:paraId="74FECBB3" w14:textId="4DF39539" w:rsidR="00381B63" w:rsidRDefault="00590D4E" w:rsidP="00381B63">
      <w:pPr>
        <w:ind w:left="420"/>
      </w:pPr>
      <w:r>
        <w:rPr>
          <w:rFonts w:hint="eastAsia"/>
        </w:rPr>
        <w:t>図２において、ノイマン境界条件は開放端条件</w:t>
      </w:r>
      <w:r w:rsidR="00381B63">
        <w:rPr>
          <w:rFonts w:hint="eastAsia"/>
        </w:rPr>
        <w:t>なので、端点の微分係数が</w:t>
      </w:r>
      <w:proofErr w:type="gramStart"/>
      <w:r w:rsidR="00381B63">
        <w:rPr>
          <w:rFonts w:hint="eastAsia"/>
        </w:rPr>
        <w:t>常に</w:t>
      </w:r>
      <m:oMath>
        <m:r>
          <w:rPr>
            <w:rFonts w:ascii="Cambria Math" w:hAnsi="Cambria Math" w:hint="eastAsia"/>
          </w:rPr>
          <m:t>0</m:t>
        </m:r>
      </m:oMath>
      <w:r w:rsidR="00381B63">
        <w:rPr>
          <w:rFonts w:hint="eastAsia"/>
        </w:rPr>
        <w:t>になって</w:t>
      </w:r>
      <w:proofErr w:type="gramEnd"/>
      <w:r w:rsidR="00381B63">
        <w:rPr>
          <w:rFonts w:hint="eastAsia"/>
        </w:rPr>
        <w:t>おりまた、開放端から熱量が外の放出されていくため、全体の熱量は</w:t>
      </w:r>
      <m:oMath>
        <m:r>
          <w:rPr>
            <w:rFonts w:ascii="Cambria Math" w:hAnsi="Cambria Math"/>
          </w:rPr>
          <m:t>0</m:t>
        </m:r>
      </m:oMath>
      <w:proofErr w:type="gramStart"/>
      <w:r w:rsidR="00381B63">
        <w:rPr>
          <w:rFonts w:hint="eastAsia"/>
        </w:rPr>
        <w:t>に</w:t>
      </w:r>
      <w:proofErr w:type="gramEnd"/>
      <w:r w:rsidR="00381B63">
        <w:rPr>
          <w:rFonts w:hint="eastAsia"/>
        </w:rPr>
        <w:t>近づいていっていることがわかる。</w:t>
      </w:r>
    </w:p>
    <w:p w14:paraId="14B07969" w14:textId="512E727B" w:rsidR="00AD1607" w:rsidRDefault="00AD1607" w:rsidP="00381B63">
      <w:pPr>
        <w:ind w:left="420"/>
      </w:pPr>
    </w:p>
    <w:p w14:paraId="2C702E50" w14:textId="2DEB652E" w:rsidR="00AD1607" w:rsidRDefault="00AD1607" w:rsidP="00AD1607">
      <w:pPr>
        <w:ind w:left="420"/>
      </w:pPr>
      <w:r>
        <w:rPr>
          <w:rFonts w:hint="eastAsia"/>
        </w:rPr>
        <w:t>次に、ノイマン境界条件での端点の値の決め方について考える。２次で近似する場合を考えると、3点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,u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を2次関数でつないだときに、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での微分係数が指定した微分係数になるように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proofErr w:type="gramStart"/>
      <w:r>
        <w:rPr>
          <w:rFonts w:hint="eastAsia"/>
        </w:rPr>
        <w:t>を</w:t>
      </w:r>
      <w:proofErr w:type="gramEnd"/>
      <w:r>
        <w:rPr>
          <w:rFonts w:hint="eastAsia"/>
        </w:rPr>
        <w:t>決定すればいいことになる。</w:t>
      </w:r>
    </w:p>
    <w:p w14:paraId="47F82056" w14:textId="4822B810" w:rsidR="00AD1607" w:rsidRDefault="00AD1607" w:rsidP="00AD1607">
      <w:pPr>
        <w:ind w:left="420"/>
      </w:pPr>
      <w:r>
        <w:rPr>
          <w:rFonts w:hint="eastAsia"/>
        </w:rPr>
        <w:t>まず、3点を通る</w:t>
      </w:r>
      <w:r>
        <w:t>2</w:t>
      </w:r>
      <w:r>
        <w:rPr>
          <w:rFonts w:hint="eastAsia"/>
        </w:rPr>
        <w:t>次関数は次のように書ける。</w:t>
      </w:r>
    </w:p>
    <w:p w14:paraId="7241B108" w14:textId="7458F157" w:rsidR="00AD1607" w:rsidRDefault="00EE2913" w:rsidP="00AD1607">
      <w:pPr>
        <w:ind w:left="420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brk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AD1607">
        <w:rPr>
          <w:rFonts w:hint="eastAsia"/>
        </w:rPr>
        <w:t>このとき、</w:t>
      </w:r>
    </w:p>
    <w:p w14:paraId="1141161D" w14:textId="219FCD0F" w:rsidR="00617CB3" w:rsidRPr="00617CB3" w:rsidRDefault="0045106B" w:rsidP="00617CB3">
      <w:pPr>
        <w:ind w:left="4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1070F96" w14:textId="42664FFA" w:rsidR="00EE2913" w:rsidRDefault="00EE2913" w:rsidP="00617CB3">
      <w:pPr>
        <w:ind w:left="420"/>
      </w:pPr>
      <w:r>
        <w:rPr>
          <w:rFonts w:hint="eastAsia"/>
        </w:rPr>
        <w:t>より、</w:t>
      </w:r>
    </w:p>
    <w:p w14:paraId="4ECB1842" w14:textId="7BCB4FB9" w:rsidR="00EE2913" w:rsidRPr="00EE2913" w:rsidRDefault="0045106B" w:rsidP="00EE2913">
      <w:pPr>
        <w:ind w:left="4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2Δ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2Δ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(3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0F07A26" w14:textId="448ACF42" w:rsidR="00EE2913" w:rsidRDefault="00EE2913" w:rsidP="00EE2913">
      <w:pPr>
        <w:ind w:left="420"/>
      </w:pPr>
      <w:r>
        <w:rPr>
          <w:rFonts w:hint="eastAsia"/>
        </w:rPr>
        <w:t>となるので、</w:t>
      </w:r>
    </w:p>
    <w:p w14:paraId="1C3DED72" w14:textId="25EBD682" w:rsidR="00EE2913" w:rsidRDefault="0045106B" w:rsidP="00EE2913">
      <w:pPr>
        <w:ind w:left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 u'(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269DE2C" w14:textId="31602834" w:rsidR="00EE2913" w:rsidRDefault="00EE2913" w:rsidP="00EE2913">
      <w:pPr>
        <w:ind w:left="420"/>
      </w:pPr>
      <w:r>
        <w:rPr>
          <w:rFonts w:hint="eastAsia"/>
        </w:rPr>
        <w:t>と決定できる。特に、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のときは、</w:t>
      </w:r>
    </w:p>
    <w:p w14:paraId="798E8AFA" w14:textId="241DE0F2" w:rsidR="00EE2913" w:rsidRPr="00EE2913" w:rsidRDefault="0045106B" w:rsidP="00EE2913">
      <w:pPr>
        <w:ind w:left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294B6361" w14:textId="1C860D36" w:rsidR="00EE2913" w:rsidRPr="00EE2913" w:rsidRDefault="00EE2913" w:rsidP="00EE2913">
      <w:pPr>
        <w:ind w:left="420"/>
      </w:pPr>
      <w:r>
        <w:rPr>
          <w:rFonts w:hint="eastAsia"/>
        </w:rPr>
        <w:t>となる。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sub>
        </m:sSub>
      </m:oMath>
      <w:r>
        <w:rPr>
          <w:rFonts w:hint="eastAsia"/>
        </w:rPr>
        <w:t>に関しても同様である。</w:t>
      </w:r>
    </w:p>
    <w:sectPr w:rsidR="00EE2913" w:rsidRPr="00EE2913" w:rsidSect="005F2D2F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D4F7B"/>
    <w:multiLevelType w:val="hybridMultilevel"/>
    <w:tmpl w:val="594C4B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2F"/>
    <w:rsid w:val="001E28FC"/>
    <w:rsid w:val="00381B63"/>
    <w:rsid w:val="0038608E"/>
    <w:rsid w:val="0045106B"/>
    <w:rsid w:val="00541508"/>
    <w:rsid w:val="00590D4E"/>
    <w:rsid w:val="005F2D2F"/>
    <w:rsid w:val="00617CB3"/>
    <w:rsid w:val="00695DFA"/>
    <w:rsid w:val="006C28A8"/>
    <w:rsid w:val="00886745"/>
    <w:rsid w:val="00894013"/>
    <w:rsid w:val="009C6BF1"/>
    <w:rsid w:val="00AD1607"/>
    <w:rsid w:val="00BA3DDB"/>
    <w:rsid w:val="00EE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D542156"/>
  <w15:chartTrackingRefBased/>
  <w15:docId w15:val="{75F1C376-03F0-804C-B021-8EE6F045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D2F"/>
    <w:pPr>
      <w:ind w:leftChars="400" w:left="840"/>
    </w:pPr>
  </w:style>
  <w:style w:type="character" w:styleId="a4">
    <w:name w:val="Placeholder Text"/>
    <w:basedOn w:val="a0"/>
    <w:uiPriority w:val="99"/>
    <w:semiHidden/>
    <w:rsid w:val="00695DFA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894013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尾崎 凌明</dc:creator>
  <cp:keywords/>
  <dc:description/>
  <cp:lastModifiedBy>尾崎 凌明</cp:lastModifiedBy>
  <cp:revision>6</cp:revision>
  <dcterms:created xsi:type="dcterms:W3CDTF">2021-07-13T11:53:00Z</dcterms:created>
  <dcterms:modified xsi:type="dcterms:W3CDTF">2021-07-13T14:54:00Z</dcterms:modified>
</cp:coreProperties>
</file>