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header1.xml.rels" ContentType="application/vnd.openxmlformats-package.relationship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p>
      <w:pPr>
        <w:pStyle w:val="Normal"/>
        <w:jc w:val="center"/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t>OS2MO - STSOrgSync</w:t>
      </w:r>
    </w:p>
    <w:p>
      <w:pPr>
        <w:pStyle w:val="Normal"/>
        <w:jc w:val="center"/>
        <w:rPr>
          <w:rFonts w:cs="Arial"/>
          <w:sz w:val="28"/>
          <w:szCs w:val="52"/>
        </w:rPr>
      </w:pPr>
      <w:r>
        <w:rPr>
          <w:rFonts w:cs="Arial"/>
          <w:sz w:val="28"/>
          <w:szCs w:val="52"/>
        </w:rPr>
        <w:t>Vejledning til opsætning af STSOrgSync med OS2MO</w:t>
      </w:r>
    </w:p>
    <w:p>
      <w:pPr>
        <w:pStyle w:val="Normal"/>
        <w:jc w:val="center"/>
        <w:rPr>
          <w:rFonts w:cs="Arial"/>
          <w:sz w:val="28"/>
          <w:szCs w:val="52"/>
        </w:rPr>
      </w:pPr>
      <w:r>
        <w:rPr>
          <w:rFonts w:cs="Arial"/>
          <w:sz w:val="28"/>
          <w:szCs w:val="52"/>
        </w:rPr>
      </w:r>
    </w:p>
    <w:p>
      <w:pPr>
        <w:pStyle w:val="Normal"/>
        <w:jc w:val="center"/>
        <w:rPr>
          <w:rFonts w:cs="Arial"/>
          <w:sz w:val="52"/>
          <w:szCs w:val="52"/>
        </w:rPr>
      </w:pPr>
      <w:r>
        <w:rPr/>
        <w:drawing>
          <wp:inline distT="0" distB="0" distL="0" distR="0">
            <wp:extent cx="5902325" cy="2098675"/>
            <wp:effectExtent l="0" t="0" r="0" b="0"/>
            <wp:docPr id="1" name="Billede 10" descr="https://os2.eu/sites/default/files/styles/node_banner/public/products/os2mo_produktbanner.png?itok=tiL7Nt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0" descr="https://os2.eu/sites/default/files/styles/node_banner/public/products/os2mo_produktbanner.png?itok=tiL7Nt-X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Indhold</w:t>
          </w:r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da-DK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9266063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Om STSOrgSync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left" w:pos="88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64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Integration- og teststrategi for STSOrgSync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65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Forudsætninger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66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Opsætning på Serviceplatformen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left" w:pos="88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67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Opret IT 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left" w:pos="88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68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Opret Serviceaftale for STS Organisation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1304"/>
              <w:tab w:val="left" w:pos="132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69">
            <w:r>
              <w:rPr>
                <w:webHidden/>
                <w:rStyle w:val="IndexLink"/>
              </w:rPr>
              <w:t>3.2.1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1304"/>
              <w:tab w:val="left" w:pos="132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70">
            <w:r>
              <w:rPr>
                <w:webHidden/>
                <w:rStyle w:val="IndexLink"/>
              </w:rPr>
              <w:t>3.2.2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1304"/>
              <w:tab w:val="left" w:pos="132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71">
            <w:r>
              <w:rPr>
                <w:webHidden/>
                <w:rStyle w:val="IndexLink"/>
              </w:rPr>
              <w:t>3.2.3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Myndigheder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1304"/>
              <w:tab w:val="left" w:pos="132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72">
            <w:r>
              <w:rPr>
                <w:webHidden/>
                <w:rStyle w:val="IndexLink"/>
              </w:rPr>
              <w:t>3.2.4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Services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1304"/>
              <w:tab w:val="left" w:pos="132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73">
            <w:r>
              <w:rPr>
                <w:webHidden/>
                <w:rStyle w:val="IndexLink"/>
              </w:rPr>
              <w:t>3.2.5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Parametre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1304"/>
              <w:tab w:val="left" w:pos="132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74">
            <w:r>
              <w:rPr>
                <w:webHidden/>
                <w:rStyle w:val="IndexLink"/>
              </w:rPr>
              <w:t>3.2.6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Godkend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left" w:pos="88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75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Godkend Serviceaftalen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76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Installation og Opsætning af STSOrgSync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left" w:pos="88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77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Oplysninger til STSOrgSync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1304"/>
              <w:tab w:val="left" w:pos="880" w:leader="none"/>
              <w:tab w:val="right" w:pos="9572" w:leader="dot"/>
            </w:tabs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78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</w:rPr>
              <w:t>Filer og indhold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lang w:eastAsia="da-DK"/>
            </w:rPr>
          </w:pPr>
          <w:hyperlink w:anchor="_Toc19266079">
            <w:r>
              <w:rPr>
                <w:webHidden/>
                <w:rStyle w:val="IndexLink"/>
                <w:lang w:val="en-US"/>
              </w:rPr>
              <w:t>5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lang w:eastAsia="da-DK"/>
              </w:rPr>
              <w:tab/>
            </w:r>
            <w:r>
              <w:rPr>
                <w:rStyle w:val="IndexLink"/>
                <w:lang w:val="en-US"/>
              </w:rPr>
              <w:t>Opsætning af STS Organisation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_Toc19266079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240" w:after="0"/>
        <w:ind w:left="431" w:hanging="431"/>
        <w:rPr/>
      </w:pPr>
      <w:bookmarkStart w:id="0" w:name="_Toc17964549"/>
      <w:bookmarkStart w:id="1" w:name="_Hlk19260612"/>
      <w:bookmarkStart w:id="2" w:name="_Toc19266063"/>
      <w:bookmarkEnd w:id="1"/>
      <w:r>
        <w:rPr/>
        <w:t>Om STSOrgSync</w:t>
      </w:r>
      <w:bookmarkEnd w:id="2"/>
    </w:p>
    <w:p>
      <w:pPr>
        <w:pStyle w:val="Normal"/>
        <w:rPr/>
      </w:pPr>
      <w:r>
        <w:rPr/>
        <w:t xml:space="preserve">STSOrgsync er udviklet af Digital Identity som en opensource komponent der giver mulighed for let at integrere et lokalt system med Støttesystemet organisation. </w:t>
      </w:r>
    </w:p>
    <w:p>
      <w:pPr>
        <w:pStyle w:val="Normal"/>
        <w:rPr/>
      </w:pPr>
      <w:r>
        <w:rPr/>
        <w:t xml:space="preserve">Læs mere om komponenten her: </w:t>
      </w:r>
      <w:hyperlink r:id="rId3">
        <w:r>
          <w:rPr>
            <w:rStyle w:val="InternetLink"/>
          </w:rPr>
          <w:t>https://os2.eu/oss-projekter/stsorgsync</w:t>
        </w:r>
      </w:hyperlink>
    </w:p>
    <w:p>
      <w:pPr>
        <w:pStyle w:val="Heading2"/>
        <w:numPr>
          <w:ilvl w:val="1"/>
          <w:numId w:val="2"/>
        </w:numPr>
        <w:spacing w:before="120" w:after="0"/>
        <w:ind w:left="578" w:hanging="578"/>
        <w:rPr/>
      </w:pPr>
      <w:bookmarkStart w:id="3" w:name="_Toc19266064"/>
      <w:r>
        <w:rPr/>
        <w:t>Integration- og teststrategi for STSOrgSync</w:t>
      </w:r>
      <w:bookmarkEnd w:id="3"/>
    </w:p>
    <w:p>
      <w:pPr>
        <w:pStyle w:val="Normal"/>
        <w:rPr/>
      </w:pPr>
      <w:r>
        <w:rPr/>
        <w:t>For at sende data til Støttesystemet Organisation (STS ORG) fra de lokale OS2MO servere, skal STSOrgSync installeres.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0"/>
        <w:ind w:left="431" w:hanging="431"/>
        <w:rPr/>
      </w:pPr>
      <w:bookmarkStart w:id="4" w:name="_Hlk19260612"/>
      <w:bookmarkStart w:id="5" w:name="_Toc19266065"/>
      <w:bookmarkEnd w:id="4"/>
      <w:r>
        <w:rPr/>
        <w:t>Forudsætninger</w:t>
      </w:r>
      <w:bookmarkStart w:id="6" w:name="_GoBack"/>
      <w:bookmarkEnd w:id="5"/>
      <w:bookmarkEnd w:id="6"/>
    </w:p>
    <w:p>
      <w:pPr>
        <w:pStyle w:val="Normal"/>
        <w:rPr/>
      </w:pPr>
      <w:r>
        <w:rPr/>
        <w:t xml:space="preserve">Der skal være oprettet rodenhed i STS Organisation for din kommune på det miljø (Test eller Prod.) som du ønsker anvende. </w:t>
      </w:r>
      <w:r>
        <w:rPr/>
        <w:t>Det skal KMD gøre.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0"/>
        <w:ind w:left="431" w:hanging="431"/>
        <w:rPr/>
      </w:pPr>
      <w:bookmarkStart w:id="7" w:name="_Toc17964549"/>
      <w:bookmarkStart w:id="8" w:name="_Toc19266066"/>
      <w:r>
        <w:rPr/>
        <w:t>Opsætning på Serviceplatformen</w:t>
      </w:r>
      <w:bookmarkEnd w:id="7"/>
      <w:bookmarkEnd w:id="8"/>
    </w:p>
    <w:p>
      <w:pPr>
        <w:pStyle w:val="Normal"/>
        <w:rPr/>
      </w:pPr>
      <w:r>
        <w:rPr/>
        <w:t>Det anbefales at læse ”</w:t>
      </w:r>
      <w:r>
        <w:rPr>
          <w:i/>
        </w:rPr>
        <w:t>Vejledningen til tilslutning af OS2MO på serviceplatformen som anvendersystemer</w:t>
      </w:r>
      <w:bookmarkStart w:id="9" w:name="_Ref19197263"/>
      <w:bookmarkEnd w:id="9"/>
      <w:r>
        <w:rPr>
          <w:rStyle w:val="FootnoteAnchor"/>
          <w:i/>
        </w:rPr>
        <w:footnoteReference w:id="2"/>
      </w:r>
      <w:r>
        <w:rPr/>
        <w:t>” hvis ikke man er bekendt med proceduren for oprettelse af IT systemer og serviceaftaler på Serviceplatformen.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spacing w:before="120" w:after="0"/>
        <w:ind w:left="578" w:hanging="578"/>
        <w:rPr/>
      </w:pPr>
      <w:bookmarkStart w:id="10" w:name="_Toc19266067"/>
      <w:r>
        <w:rPr/>
        <w:t>Opret IT System</w:t>
      </w:r>
      <w:bookmarkEnd w:id="1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Hvis OS2MO allerede er oprettet som IT System i forbindelse med oprettelse af serviceaftale for CPR service, så kan det registrerede IT system og FOCES gen-anvendes.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Det er altså </w:t>
      </w:r>
      <w:r>
        <w:rPr>
          <w:u w:val="single"/>
        </w:rPr>
        <w:t>ikke</w:t>
      </w:r>
      <w:r>
        <w:rPr/>
        <w:t xml:space="preserve"> nødvendigt at oprette et selvstændigt IT system med tilhørende FOCES osv. for at kunne lave en serviceaftale for STSOrgSync til STS Organisation.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Hvis STSOrgSync oprettes som selvstændigt følges samme procedure som beskrevet i ”</w:t>
      </w:r>
      <w:r>
        <w:rPr>
          <w:i/>
        </w:rPr>
        <w:t>Vejledningen til tilslutning af OS2MO på serviceplatformen som anvendersystemer</w:t>
      </w:r>
      <w:r>
        <w:fldChar w:fldCharType="begin"/>
      </w:r>
      <w:r>
        <w:rPr/>
        <w:instrText>NOTEREF _Ref19197263 \f \h</w:instrText>
      </w:r>
      <w:r>
        <w:rPr/>
        <w:fldChar w:fldCharType="separate"/>
      </w:r>
      <w:bookmarkStart w:id="11" w:name="Bookmark"/>
      <w:r>
        <w:rPr/>
      </w:r>
      <w:r>
        <w:rPr>
          <w:rStyle w:val="FootnoteCharacters"/>
        </w:rPr>
        <w:t>1</w:t>
      </w:r>
      <w:r>
        <w:rPr/>
      </w:r>
      <w:r>
        <w:rPr/>
        <w:fldChar w:fldCharType="end"/>
      </w:r>
      <w:bookmarkEnd w:id="11"/>
      <w:r>
        <w:rPr/>
        <w:t>” pkt. 2, 3 og 4.</w:t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120" w:after="0"/>
        <w:ind w:left="578" w:hanging="578"/>
        <w:rPr/>
      </w:pPr>
      <w:bookmarkStart w:id="12" w:name="_Toc19266068"/>
      <w:r>
        <w:rPr/>
        <w:t>Opret Serviceaftale for STS Organisation</w:t>
      </w:r>
      <w:bookmarkEnd w:id="12"/>
    </w:p>
    <w:p>
      <w:pPr>
        <w:pStyle w:val="Normal"/>
        <w:rPr/>
      </w:pPr>
      <w:r>
        <w:rPr/>
        <w:t xml:space="preserve">Det anbefales at læse KOMBITs brugervejledning for leverandører (Afsnit 7.7), før der oprettes en serviceaftale for første gang på serviceplatformen.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Brugervejledningen kan findes </w:t>
      </w:r>
      <w:hyperlink r:id="rId4">
        <w:r>
          <w:rPr>
            <w:rStyle w:val="InternetLink"/>
          </w:rPr>
          <w:t>her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spacing w:before="120" w:after="0"/>
        <w:rPr/>
      </w:pPr>
      <w:bookmarkStart w:id="13" w:name="_Toc19266069"/>
      <w:r>
        <w:rPr/>
        <w:t>Type</w:t>
      </w:r>
      <w:bookmarkEnd w:id="13"/>
    </w:p>
    <w:p>
      <w:pPr>
        <w:pStyle w:val="Normal"/>
        <w:rPr/>
      </w:pPr>
      <w:r>
        <w:rPr/>
        <w:t xml:space="preserve">Vælg ”Anmod om serviceaftale” under ”Serviceaftaler og angiv ”Uden videregivelse af data” i Serviceaftaletype. </w:t>
      </w:r>
    </w:p>
    <w:p>
      <w:pPr>
        <w:pStyle w:val="Normal"/>
        <w:rPr/>
      </w:pPr>
      <w:r>
        <w:rPr/>
        <w:t>”</w:t>
      </w:r>
      <w:r>
        <w:rPr/>
        <w:t>Navn” og ”Begrundelse” udfyldes så teksten klart afspejler serviceaftalens formål.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84570" cy="5195570"/>
            <wp:effectExtent l="0" t="0" r="0" b="0"/>
            <wp:docPr id="2" name="Billed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spacing w:before="120" w:after="0"/>
        <w:rPr/>
      </w:pPr>
      <w:bookmarkStart w:id="14" w:name="_Toc19266070"/>
      <w:r>
        <w:rPr/>
        <w:t>System</w:t>
      </w:r>
      <w:bookmarkEnd w:id="14"/>
    </w:p>
    <w:p>
      <w:pPr>
        <w:pStyle w:val="Normal"/>
        <w:rPr/>
      </w:pPr>
      <w:r>
        <w:rPr/>
        <w:t xml:space="preserve">Her vælges det IT-System der er oprettet til STSOrgSync. </w:t>
      </w:r>
    </w:p>
    <w:p>
      <w:pPr>
        <w:pStyle w:val="Normal"/>
        <w:rPr/>
      </w:pPr>
      <w:r>
        <w:rPr/>
        <w:t>I det viste eksempel genbruges IT-Systemet som blev oprettet i forbindelse med opsætning af integration til CPR Service.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84570" cy="3054985"/>
            <wp:effectExtent l="0" t="0" r="0" b="0"/>
            <wp:docPr id="3" name="Billed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spacing w:before="120" w:after="0"/>
        <w:rPr/>
      </w:pPr>
      <w:bookmarkStart w:id="15" w:name="_Toc19266071"/>
      <w:r>
        <w:rPr/>
        <w:t>Myndigheder</w:t>
      </w:r>
      <w:bookmarkEnd w:id="15"/>
    </w:p>
    <w:p>
      <w:pPr>
        <w:pStyle w:val="Normal"/>
        <w:rPr/>
      </w:pPr>
      <w:r>
        <w:rPr/>
        <w:t>Under ”Datamodtager” vælges din kommune.</w:t>
      </w:r>
    </w:p>
    <w:p>
      <w:pPr>
        <w:pStyle w:val="Normal"/>
        <w:rPr/>
      </w:pPr>
      <w:r>
        <w:rPr/>
        <w:drawing>
          <wp:inline distT="0" distB="0" distL="0" distR="0">
            <wp:extent cx="6084570" cy="3207385"/>
            <wp:effectExtent l="0" t="0" r="0" b="0"/>
            <wp:docPr id="4" name="Billed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spacing w:before="120" w:after="0"/>
        <w:rPr/>
      </w:pPr>
      <w:bookmarkStart w:id="16" w:name="_Toc19266072"/>
      <w:r>
        <w:rPr/>
        <w:t>Services</w:t>
      </w:r>
      <w:bookmarkEnd w:id="16"/>
    </w:p>
    <w:p>
      <w:pPr>
        <w:pStyle w:val="Normal"/>
        <w:rPr/>
      </w:pPr>
      <w:r>
        <w:rPr/>
        <w:t xml:space="preserve">Her fremsøges og vælges ”Organisation – v.4.0” under navn. </w:t>
      </w:r>
    </w:p>
    <w:p>
      <w:pPr>
        <w:pStyle w:val="Normal"/>
        <w:rPr/>
      </w:pPr>
      <w:r>
        <w:rPr/>
        <w:t xml:space="preserve">Når denne vælges tilføjes servicen ”organisation2” automatisk. </w:t>
      </w:r>
    </w:p>
    <w:p>
      <w:pPr>
        <w:pStyle w:val="Normal"/>
        <w:rPr/>
      </w:pPr>
      <w:r>
        <w:rPr/>
        <w:drawing>
          <wp:inline distT="0" distB="0" distL="0" distR="0">
            <wp:extent cx="6084570" cy="3578225"/>
            <wp:effectExtent l="0" t="0" r="0" b="0"/>
            <wp:docPr id="5" name="Billed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spacing w:before="120" w:after="0"/>
        <w:rPr/>
      </w:pPr>
      <w:bookmarkStart w:id="17" w:name="_Toc19266073"/>
      <w:r>
        <w:rPr/>
        <w:t>Parametre</w:t>
      </w:r>
      <w:bookmarkEnd w:id="17"/>
    </w:p>
    <w:p>
      <w:pPr>
        <w:pStyle w:val="Normal"/>
        <w:rPr/>
      </w:pPr>
      <w:r>
        <w:rPr/>
        <w:t xml:space="preserve">Her angives obligatoriske parametre til de valgte services.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”Organisation – v4.0” tilføjes rollen ”Dummy” under ”+Tilføj rolle”.</w:t>
      </w:r>
    </w:p>
    <w:p>
      <w:pPr>
        <w:pStyle w:val="Normal"/>
        <w:rPr/>
      </w:pPr>
      <w:r>
        <w:rPr/>
        <w:drawing>
          <wp:inline distT="0" distB="0" distL="0" distR="0">
            <wp:extent cx="6084570" cy="1544955"/>
            <wp:effectExtent l="0" t="0" r="0" b="0"/>
            <wp:docPr id="6" name="Billed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For ”organisation2” tilføjes begge de tilgængelige roller hhv. ”rediger” og ”udstil” og parameterværdier udfyldes nøjagtig som vist på eksemplet forneden. </w:t>
      </w:r>
    </w:p>
    <w:p>
      <w:pPr>
        <w:pStyle w:val="Normal"/>
        <w:rPr/>
      </w:pPr>
      <w:r>
        <w:rPr/>
        <w:drawing>
          <wp:inline distT="0" distB="0" distL="0" distR="0">
            <wp:extent cx="6084570" cy="8664575"/>
            <wp:effectExtent l="0" t="0" r="0" b="0"/>
            <wp:docPr id="7" name="Billed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86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spacing w:before="120" w:after="0"/>
        <w:rPr/>
      </w:pPr>
      <w:bookmarkStart w:id="18" w:name="_Toc19266074"/>
      <w:r>
        <w:rPr/>
        <w:t>Godkend</w:t>
      </w:r>
      <w:bookmarkEnd w:id="18"/>
    </w:p>
    <w:p>
      <w:pPr>
        <w:pStyle w:val="Normal"/>
        <w:rPr/>
      </w:pPr>
      <w:r>
        <w:rPr/>
        <w:t xml:space="preserve">Klik på ”Accepter Vilkår og Betingelser” og godkend dem. </w:t>
      </w:r>
    </w:p>
    <w:p>
      <w:pPr>
        <w:pStyle w:val="Normal"/>
        <w:rPr/>
      </w:pPr>
      <w:r>
        <w:rPr/>
        <w:t>Klik på ”Send Anmodning” for at sende anmodning om Serviceaftalen.</w:t>
      </w:r>
    </w:p>
    <w:p>
      <w:pPr>
        <w:pStyle w:val="Heading2"/>
        <w:numPr>
          <w:ilvl w:val="1"/>
          <w:numId w:val="2"/>
        </w:numPr>
        <w:spacing w:before="120" w:after="0"/>
        <w:ind w:left="578" w:hanging="578"/>
        <w:rPr/>
      </w:pPr>
      <w:bookmarkStart w:id="19" w:name="_Toc19266075"/>
      <w:r>
        <w:rPr/>
        <w:t>Godkend Serviceaftalen</w:t>
      </w:r>
      <w:bookmarkEnd w:id="19"/>
    </w:p>
    <w:p>
      <w:pPr>
        <w:pStyle w:val="Normal"/>
        <w:rPr/>
      </w:pPr>
      <w:r>
        <w:rPr/>
        <w:t xml:space="preserve">Når anmodning om serviceaftalen er sendt, vil den dukke op under ”Opgaveoversigt” i STS Administration, hvor den behandles og godkendes på normal vis. </w:t>
      </w:r>
    </w:p>
    <w:p>
      <w:pPr>
        <w:pStyle w:val="Normal"/>
        <w:rPr/>
      </w:pPr>
      <w:r>
        <w:rPr/>
        <w:t>Hvis du også er din kommunes aftale administrator vil du kunne se og godkende aftalen med samme under ”Opgaveoversigt”.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Efter dette er aftalen klar til at blive brugt af OS2MO – STSOrgSync.</w:t>
      </w:r>
    </w:p>
    <w:p>
      <w:pPr>
        <w:pStyle w:val="Heading1"/>
        <w:numPr>
          <w:ilvl w:val="0"/>
          <w:numId w:val="2"/>
        </w:numPr>
        <w:spacing w:before="240" w:after="0"/>
        <w:ind w:left="431" w:hanging="431"/>
        <w:rPr/>
      </w:pPr>
      <w:bookmarkStart w:id="20" w:name="_Toc19266076"/>
      <w:r>
        <w:rPr/>
        <w:t>Installation og Opsætning af STSOrgSync</w:t>
      </w:r>
      <w:bookmarkEnd w:id="20"/>
    </w:p>
    <w:p>
      <w:pPr>
        <w:pStyle w:val="Normal"/>
        <w:rPr/>
      </w:pPr>
      <w:r>
        <w:rPr/>
        <w:t>For at STSOrgSync kan anvende den nyoprettede serviceaftale, skal der indsamles nogle oplysninger som skal bruges til konfiguration af STSOrgSync.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21" w:name="_Toc19266077"/>
      <w:r>
        <w:rPr/>
        <w:t>Oplysninger til STSOrgSync</w:t>
      </w:r>
      <w:bookmarkEnd w:id="21"/>
    </w:p>
    <w:p>
      <w:pPr>
        <w:pStyle w:val="Normal"/>
        <w:rPr/>
      </w:pPr>
      <w:r>
        <w:rPr/>
        <w:t>Læs afsnit 6 i ”</w:t>
      </w:r>
      <w:r>
        <w:rPr>
          <w:i/>
        </w:rPr>
        <w:t xml:space="preserve"> Vejledningen til tilslutning af OS2MO på serviceplatformen som anvendersystemer</w:t>
      </w:r>
      <w:r>
        <w:fldChar w:fldCharType="begin"/>
      </w:r>
      <w:r>
        <w:rPr/>
        <w:instrText>NOTEREF _Ref19197263 \f \h</w:instrText>
      </w:r>
      <w:r>
        <w:rPr/>
        <w:fldChar w:fldCharType="separate"/>
      </w:r>
      <w:bookmarkStart w:id="22" w:name="Bookmark1"/>
      <w:r>
        <w:rPr/>
      </w:r>
      <w:r>
        <w:rPr>
          <w:rStyle w:val="FootnoteCharacters"/>
        </w:rPr>
        <w:t>1</w:t>
      </w:r>
      <w:r>
        <w:rPr/>
      </w:r>
      <w:r>
        <w:rPr/>
        <w:fldChar w:fldCharType="end"/>
      </w:r>
      <w:bookmarkEnd w:id="22"/>
      <w:r>
        <w:rPr/>
        <w:t>” for at se hvordan UUID’er for serviceaftalen mm. findes i STS Administrationsmodulet.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STSOrgSync skal bruge følgende oplysninger: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SP_SERVICE_UUID: UUID for Organisation V.4 servicen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SP_SERVICE_AGREEMENT_UUID: UUID for serviceaftalen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SP_MUNICIPALITY_UUID: din kommunes UUID</w:t>
      </w:r>
    </w:p>
    <w:p>
      <w:pPr>
        <w:pStyle w:val="ListParagraph"/>
        <w:numPr>
          <w:ilvl w:val="0"/>
          <w:numId w:val="3"/>
        </w:numPr>
        <w:rPr/>
      </w:pPr>
      <w:r>
        <w:rPr/>
        <w:t>SP_SYSTEM_UUID: UUID for IT-Systemet der er tilknyttet serviceaftalen</w:t>
      </w:r>
    </w:p>
    <w:p>
      <w:pPr>
        <w:pStyle w:val="ListParagraph"/>
        <w:numPr>
          <w:ilvl w:val="0"/>
          <w:numId w:val="3"/>
        </w:numPr>
        <w:rPr/>
      </w:pPr>
      <w:r>
        <w:rPr/>
        <w:t>ADMIN_TOP_UUID: UUID’et kommunens øverste administrative organisationsenhed, som det er oprettet i STS Organisation</w:t>
      </w:r>
    </w:p>
    <w:p>
      <w:pPr>
        <w:pStyle w:val="ListParagraph"/>
        <w:numPr>
          <w:ilvl w:val="0"/>
          <w:numId w:val="3"/>
        </w:numPr>
        <w:rPr/>
      </w:pPr>
      <w:r>
        <w:rPr/>
        <w:t>CVR: Kommunens CVR-nummer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UUID Servicen ”Organisation V.4” er identisk for både test produktionsmiljøet. </w:t>
      </w:r>
    </w:p>
    <w:p>
      <w:pPr>
        <w:pStyle w:val="Normal"/>
        <w:rPr/>
      </w:pPr>
      <w:r>
        <w:rPr/>
        <w:t xml:space="preserve">UUID’en er: </w:t>
      </w:r>
      <w:r>
        <w:rPr>
          <w:rFonts w:cs="Consolas" w:ascii="Consolas" w:hAnsi="Consolas"/>
        </w:rPr>
        <w:t>1e1c7d8d-b644-419c-a585-cb6486f04947</w:t>
      </w:r>
    </w:p>
    <w:p>
      <w:pPr>
        <w:pStyle w:val="Heading2"/>
        <w:numPr>
          <w:ilvl w:val="1"/>
          <w:numId w:val="2"/>
        </w:numPr>
        <w:ind w:left="578" w:hanging="578"/>
        <w:rPr/>
      </w:pPr>
      <w:bookmarkStart w:id="23" w:name="_Toc19266078"/>
      <w:r>
        <w:rPr/>
        <w:t>Filer og indhold</w:t>
      </w:r>
      <w:bookmarkEnd w:id="23"/>
    </w:p>
    <w:p>
      <w:pPr>
        <w:pStyle w:val="Normal"/>
        <w:rPr/>
      </w:pPr>
      <w:r>
        <w:rPr/>
        <w:t>Oplysninger kopieres ind på OS2MO testserveren og placeres i folderen ”/opt/info/STSOrgSync”.</w:t>
      </w:r>
    </w:p>
    <w:p>
      <w:pPr>
        <w:pStyle w:val="Normal"/>
        <w:rPr/>
      </w:pPr>
      <w:r>
        <w:rPr/>
      </w:r>
    </w:p>
    <w:tbl>
      <w:tblPr>
        <w:tblStyle w:val="Gittertabel4-farve1"/>
        <w:tblW w:w="95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24"/>
        <w:gridCol w:w="40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Filnavn</w:t>
            </w:r>
          </w:p>
        </w:tc>
        <w:tc>
          <w:tcPr>
            <w:tcW w:w="40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Indhold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</w:tcPr>
          <w:p>
            <w:pPr>
              <w:pStyle w:val="Normal"/>
              <w:tabs>
                <w:tab w:val="clear" w:pos="1304"/>
                <w:tab w:val="left" w:pos="3207" w:leader="none"/>
              </w:tabs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/opt/info/STSOrgSync/OS2MO_FOCES.pfx</w:t>
            </w:r>
          </w:p>
        </w:tc>
        <w:tc>
          <w:tcPr>
            <w:tcW w:w="4047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FOCES certifikat</w:t>
            </w:r>
          </w:p>
        </w:tc>
      </w:tr>
      <w:tr>
        <w:trPr/>
        <w:tc>
          <w:tcPr>
            <w:tcW w:w="55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info.txt</w:t>
            </w:r>
          </w:p>
        </w:tc>
        <w:tc>
          <w:tcPr>
            <w:tcW w:w="40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UUID’er, passwords og brugernavne. Se krav til formatering forneden.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/>
        <w:t>Filen ”info.txt” skal formateres således:</w:t>
      </w:r>
    </w:p>
    <w:p>
      <w:pPr>
        <w:pStyle w:val="Code"/>
        <w:rPr/>
      </w:pPr>
      <w:r>
        <w:rPr/>
        <w:t>UUID</w:t>
      </w:r>
    </w:p>
    <w:p>
      <w:pPr>
        <w:pStyle w:val="Code"/>
        <w:rPr/>
      </w:pPr>
      <w:r>
        <w:rPr/>
        <w:t>SP_SERVICE_UUID: 1e1c7d8d-b644-419c-a585-cb6486f04947</w:t>
      </w:r>
    </w:p>
    <w:p>
      <w:pPr>
        <w:pStyle w:val="Code"/>
        <w:rPr/>
      </w:pPr>
      <w:r>
        <w:rPr/>
        <w:t>SP_SERVICE_AGREEMENT_UUID: aaaaaaaa-bbbb-cccc-dddd-eeeeeeeeeeee</w:t>
      </w:r>
    </w:p>
    <w:p>
      <w:pPr>
        <w:pStyle w:val="Code"/>
        <w:rPr/>
      </w:pPr>
      <w:r>
        <w:rPr/>
        <w:t>SP_MUNICIPALITY_UUID: aaaaaaaa-bbbb-cccc-dddd-eeeeeeeeeeee</w:t>
      </w:r>
    </w:p>
    <w:p>
      <w:pPr>
        <w:pStyle w:val="Code"/>
        <w:rPr/>
      </w:pPr>
      <w:r>
        <w:rPr/>
        <w:t>SP_SYSTEM_UUID: aaaaaaaa-bbbb-cccc-dddd-eeeeeeeeeeee</w:t>
      </w:r>
    </w:p>
    <w:p>
      <w:pPr>
        <w:pStyle w:val="Code"/>
        <w:rPr/>
      </w:pPr>
      <w:r>
        <w:rPr/>
        <w:t>ADMIN_TOP_UUID: aaaaaaaa-bbbb-cccc-dddd-eeeeeeeeeeee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PASSWORDS</w:t>
      </w:r>
    </w:p>
    <w:p>
      <w:pPr>
        <w:pStyle w:val="Code"/>
        <w:rPr/>
      </w:pPr>
      <w:r>
        <w:rPr/>
        <w:t>FOCES_PASSWORD: Password123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OTHER</w:t>
      </w:r>
    </w:p>
    <w:p>
      <w:pPr>
        <w:pStyle w:val="Code"/>
        <w:rPr/>
      </w:pPr>
      <w:r>
        <w:rPr/>
        <w:t>CVR: 12345678</w:t>
      </w:r>
    </w:p>
    <w:p>
      <w:pPr>
        <w:pStyle w:val="Heading1"/>
        <w:numPr>
          <w:ilvl w:val="0"/>
          <w:numId w:val="2"/>
        </w:numPr>
        <w:ind w:left="431" w:hanging="431"/>
        <w:rPr>
          <w:lang w:val="en-US"/>
        </w:rPr>
      </w:pPr>
      <w:bookmarkStart w:id="24" w:name="_Toc19266079"/>
      <w:r>
        <w:rPr>
          <w:lang w:val="en-US"/>
        </w:rPr>
        <w:t>Opsætning af STS Organisation</w:t>
      </w:r>
      <w:bookmarkEnd w:id="24"/>
    </w:p>
    <w:p>
      <w:pPr>
        <w:pStyle w:val="Normal"/>
        <w:rPr/>
      </w:pPr>
      <w:r>
        <w:rPr/>
        <w:t>For at synkroniseringen fra OS2MO til STS Organisation skal UUID’et for din kommunes øverste administrative organisationsenhed oprettes i det relevante miljø (test eller produktion) for STS Organisation.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Bemærk at UUID’er for hhv. test- og produktionsmiljøet ikke vil være ens. Oplysningerne skal altså rettes til hvis de flyttes fra test til produktion.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b/>
          <w:lang w:val="en-US"/>
        </w:rPr>
        <w:t>STS Ekstern Test</w:t>
      </w:r>
      <w:r>
        <w:rPr>
          <w:lang w:val="en-US"/>
        </w:rPr>
        <w:t xml:space="preserve">: </w:t>
      </w:r>
      <w:r>
        <w:fldChar w:fldCharType="begin"/>
      </w:r>
      <w:r>
        <w:rPr>
          <w:rStyle w:val="InternetLink"/>
        </w:rPr>
        <w:instrText> HYPERLINK "https://organisation.eksterntest-stoettesystemerne.dk/sts-rest-organisation/" \l "/administrativ/"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https://organisation.eksterntest-stoettesystemerne.dk/sts-rest-organisation/#/administrativ/</w:t>
      </w:r>
      <w:r>
        <w:rPr>
          <w:rStyle w:val="InternetLink"/>
        </w:rPr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STS Produktion</w:t>
      </w:r>
      <w:r>
        <w:rPr/>
        <w:t xml:space="preserve">: </w:t>
      </w:r>
      <w:r>
        <w:fldChar w:fldCharType="begin"/>
      </w:r>
      <w:r>
        <w:rPr>
          <w:rStyle w:val="InternetLink"/>
        </w:rPr>
        <w:instrText> HYPERLINK "https://organisation.stoettesystemerne.dk/sts-rest-organisation/" \l "/administrativ/"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https://organisation.stoettesystemerne.dk/sts-rest-organisation/#/administrativ/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Du finder UUID’et ved at logge ind i STS Organisation og klikke på din rod-enhed. </w:t>
      </w:r>
    </w:p>
    <w:p>
      <w:pPr>
        <w:pStyle w:val="Normal"/>
        <w:rPr/>
      </w:pPr>
      <w:r>
        <w:rPr/>
        <w:t xml:space="preserve">UUID’et fremgår af adresselinien: </w:t>
      </w:r>
    </w:p>
    <w:p>
      <w:pPr>
        <w:pStyle w:val="Normal"/>
        <w:rPr/>
      </w:pPr>
      <w:r>
        <w:rPr/>
        <w:drawing>
          <wp:inline distT="0" distB="0" distL="0" distR="0">
            <wp:extent cx="6084570" cy="2253615"/>
            <wp:effectExtent l="0" t="0" r="0" b="0"/>
            <wp:docPr id="8" name="Billed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sectPr>
      <w:headerReference w:type="default" r:id="rId12"/>
      <w:footerReference w:type="default" r:id="rId13"/>
      <w:footnotePr>
        <w:numFmt w:val="decimal"/>
      </w:footnotePr>
      <w:type w:val="nextPage"/>
      <w:pgSz w:w="11906" w:h="16838"/>
      <w:pgMar w:left="1247" w:right="1077" w:header="425" w:top="1134" w:footer="709" w:bottom="141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20412627"/>
    </w:sdtPr>
    <w:sdtContent>
      <w:p>
        <w:pPr>
          <w:pStyle w:val="Footer"/>
          <w:rPr/>
        </w:pPr>
        <w:r>
          <w:rPr/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rPr/>
      </w:pPr>
      <w:r>
        <w:rPr>
          <w:rStyle w:val="FootnoteCharacters"/>
        </w:rPr>
        <w:footnoteRef/>
      </w:r>
      <w:r>
        <w:rPr/>
      </w:r>
    </w:p>
    <w:p>
      <w:pPr>
        <w:pStyle w:val="Footnote"/>
        <w:rPr/>
      </w:pPr>
      <w:hyperlink r:id="rId1">
        <w:r>
          <w:rPr>
            <w:rStyle w:val="InternetLink"/>
          </w:rPr>
          <w:t>https://os2mo.readthedocs.io/en/latest/_static/Vejledning%20til%20tilslutning%20af%20OS2MO%20p%C3%A5%20Serviceplatformen%20som%20anvendersystem.pdf</w:t>
        </w:r>
      </w:hyperlink>
    </w:p>
    <w:p>
      <w:pPr>
        <w:pStyle w:val="Footnote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/>
      <w:drawing>
        <wp:inline distT="0" distB="0" distL="0" distR="0">
          <wp:extent cx="501650" cy="299085"/>
          <wp:effectExtent l="0" t="0" r="0" b="0"/>
          <wp:docPr id="9" name="Billede 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illede 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299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a-D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225ac"/>
    <w:pPr>
      <w:widowControl/>
      <w:bidi w:val="0"/>
      <w:spacing w:lineRule="atLeast" w:line="240" w:before="0" w:after="0"/>
      <w:jc w:val="left"/>
    </w:pPr>
    <w:rPr>
      <w:rFonts w:ascii="Verdana" w:hAnsi="Verdana" w:eastAsia="Calibri" w:cs="Arial" w:cstheme="minorBidi" w:eastAsia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9951f1"/>
    <w:pPr>
      <w:keepNext w:val="true"/>
      <w:keepLines/>
      <w:numPr>
        <w:ilvl w:val="0"/>
        <w:numId w:val="1"/>
      </w:numPr>
      <w:spacing w:before="240" w:after="120"/>
      <w:ind w:left="431" w:hanging="431"/>
      <w:outlineLvl w:val="0"/>
    </w:pPr>
    <w:rPr>
      <w:rFonts w:eastAsia="" w:cs="Times New Roman" w:cstheme="majorBidi" w:eastAsiaTheme="majorEastAsia"/>
      <w:b/>
      <w:bCs/>
      <w:color w:val="4BACC6" w:themeColor="accent5"/>
      <w:sz w:val="28"/>
      <w:szCs w:val="28"/>
    </w:rPr>
  </w:style>
  <w:style w:type="paragraph" w:styleId="Heading2">
    <w:name w:val="Heading 2"/>
    <w:basedOn w:val="Normal"/>
    <w:next w:val="Normal"/>
    <w:link w:val="Overskrift2Tegn"/>
    <w:uiPriority w:val="9"/>
    <w:qFormat/>
    <w:rsid w:val="009951f1"/>
    <w:pPr>
      <w:keepNext w:val="true"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="" w:cs="Times New Roman" w:cstheme="majorBidi" w:eastAsiaTheme="majorEastAsia"/>
      <w:b/>
      <w:bCs/>
      <w:color w:val="4BACC6" w:themeColor="accent5"/>
      <w:sz w:val="24"/>
      <w:szCs w:val="26"/>
    </w:rPr>
  </w:style>
  <w:style w:type="paragraph" w:styleId="Heading3">
    <w:name w:val="Heading 3"/>
    <w:basedOn w:val="Normal"/>
    <w:next w:val="Normal"/>
    <w:link w:val="Overskrift3Tegn"/>
    <w:uiPriority w:val="9"/>
    <w:qFormat/>
    <w:rsid w:val="009951f1"/>
    <w:pPr>
      <w:keepNext w:val="true"/>
      <w:keepLines/>
      <w:numPr>
        <w:ilvl w:val="2"/>
        <w:numId w:val="1"/>
      </w:numPr>
      <w:spacing w:before="120" w:after="120"/>
      <w:outlineLvl w:val="2"/>
    </w:pPr>
    <w:rPr>
      <w:rFonts w:eastAsia="" w:cs="Times New Roman" w:cstheme="majorBidi" w:eastAsiaTheme="majorEastAsia"/>
      <w:b/>
      <w:color w:val="4BACC6" w:themeColor="accent5"/>
      <w:szCs w:val="24"/>
    </w:rPr>
  </w:style>
  <w:style w:type="paragraph" w:styleId="Heading4">
    <w:name w:val="Heading 4"/>
    <w:basedOn w:val="Normal"/>
    <w:next w:val="Normal"/>
    <w:link w:val="Overskrift4Tegn"/>
    <w:uiPriority w:val="9"/>
    <w:qFormat/>
    <w:rsid w:val="00c736d9"/>
    <w:pPr>
      <w:keepNext w:val="true"/>
      <w:keepLines/>
      <w:numPr>
        <w:ilvl w:val="3"/>
        <w:numId w:val="1"/>
      </w:numPr>
      <w:spacing w:before="120" w:after="40"/>
      <w:ind w:left="862" w:hanging="862"/>
      <w:outlineLvl w:val="3"/>
    </w:pPr>
    <w:rPr>
      <w:rFonts w:eastAsia="" w:cs="Times New Roman" w:cstheme="majorBidi" w:eastAsiaTheme="majorEastAsia"/>
      <w:i/>
      <w:iCs/>
      <w:color w:val="4BACC6" w:themeColor="accent5"/>
    </w:rPr>
  </w:style>
  <w:style w:type="paragraph" w:styleId="Heading5">
    <w:name w:val="Heading 5"/>
    <w:basedOn w:val="Normal"/>
    <w:next w:val="Normal"/>
    <w:link w:val="Overskrift5Tegn"/>
    <w:uiPriority w:val="9"/>
    <w:qFormat/>
    <w:rsid w:val="006b277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eastAsia="" w:cs="Times New Roman" w:cstheme="majorBidi" w:eastAsiaTheme="majorEastAsia"/>
      <w:i/>
      <w:color w:val="000000" w:themeColor="text1"/>
    </w:rPr>
  </w:style>
  <w:style w:type="paragraph" w:styleId="Heading6">
    <w:name w:val="Heading 6"/>
    <w:basedOn w:val="Normal"/>
    <w:next w:val="Normal"/>
    <w:link w:val="Overskrift6Tegn"/>
    <w:uiPriority w:val="9"/>
    <w:unhideWhenUsed/>
    <w:qFormat/>
    <w:rsid w:val="006b277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6b277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6b277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6b277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ringsbobletekstTegn" w:customStyle="1">
    <w:name w:val="Markeringsbobletekst Tegn"/>
    <w:basedOn w:val="DefaultParagraphFont"/>
    <w:link w:val="Markeringsbobletekst"/>
    <w:uiPriority w:val="99"/>
    <w:semiHidden/>
    <w:qFormat/>
    <w:rsid w:val="00df4bd1"/>
    <w:rPr>
      <w:rFonts w:ascii="Tahoma" w:hAnsi="Tahoma" w:cs="Tahoma"/>
      <w:color w:val="003F75"/>
      <w:sz w:val="16"/>
      <w:szCs w:val="16"/>
    </w:rPr>
  </w:style>
  <w:style w:type="character" w:styleId="SidehovedTegn" w:customStyle="1">
    <w:name w:val="Sidehoved Tegn"/>
    <w:basedOn w:val="DefaultParagraphFont"/>
    <w:link w:val="Sidehoved"/>
    <w:uiPriority w:val="99"/>
    <w:qFormat/>
    <w:rsid w:val="00291c7f"/>
    <w:rPr>
      <w:rFonts w:ascii="Georgia" w:hAnsi="Georgia"/>
      <w:sz w:val="20"/>
    </w:rPr>
  </w:style>
  <w:style w:type="character" w:styleId="SidefodTegn" w:customStyle="1">
    <w:name w:val="Sidefod Tegn"/>
    <w:basedOn w:val="DefaultParagraphFont"/>
    <w:link w:val="Sidefod"/>
    <w:uiPriority w:val="99"/>
    <w:qFormat/>
    <w:rsid w:val="00291c7f"/>
    <w:rPr>
      <w:rFonts w:ascii="Georgia" w:hAnsi="Georgia"/>
      <w:sz w:val="20"/>
    </w:rPr>
  </w:style>
  <w:style w:type="character" w:styleId="PlaceholderText">
    <w:name w:val="Placeholder Text"/>
    <w:basedOn w:val="DefaultParagraphFont"/>
    <w:uiPriority w:val="99"/>
    <w:semiHidden/>
    <w:qFormat/>
    <w:rsid w:val="009f30a9"/>
    <w:rPr>
      <w:color w:val="808080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9951f1"/>
    <w:rPr>
      <w:rFonts w:ascii="Verdana" w:hAnsi="Verdana" w:eastAsia="" w:cs="Times New Roman" w:cstheme="majorBidi" w:eastAsiaTheme="majorEastAsia"/>
      <w:b/>
      <w:bCs/>
      <w:color w:val="4BACC6" w:themeColor="accent5"/>
      <w:sz w:val="28"/>
      <w:szCs w:val="28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9951f1"/>
    <w:rPr>
      <w:rFonts w:ascii="Verdana" w:hAnsi="Verdana" w:eastAsia="" w:cs="Times New Roman" w:cstheme="majorBidi" w:eastAsiaTheme="majorEastAsia"/>
      <w:b/>
      <w:bCs/>
      <w:color w:val="4BACC6" w:themeColor="accent5"/>
      <w:sz w:val="24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3729"/>
    <w:rPr>
      <w:sz w:val="16"/>
      <w:szCs w:val="16"/>
    </w:rPr>
  </w:style>
  <w:style w:type="character" w:styleId="KommentartekstTegn" w:customStyle="1">
    <w:name w:val="Kommentartekst Tegn"/>
    <w:basedOn w:val="DefaultParagraphFont"/>
    <w:link w:val="Kommentartekst"/>
    <w:uiPriority w:val="99"/>
    <w:semiHidden/>
    <w:qFormat/>
    <w:rsid w:val="00873729"/>
    <w:rPr>
      <w:rFonts w:ascii="Georgia" w:hAnsi="Georgia"/>
      <w:sz w:val="20"/>
      <w:szCs w:val="20"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qFormat/>
    <w:rsid w:val="00873729"/>
    <w:rPr>
      <w:rFonts w:ascii="Georgia" w:hAnsi="Georgia"/>
      <w:b/>
      <w:bCs/>
      <w:sz w:val="20"/>
      <w:szCs w:val="20"/>
    </w:rPr>
  </w:style>
  <w:style w:type="character" w:styleId="SenderTegn" w:customStyle="1">
    <w:name w:val="Sender Tegn"/>
    <w:basedOn w:val="DefaultParagraphFont"/>
    <w:link w:val="Sender"/>
    <w:qFormat/>
    <w:rsid w:val="002446b8"/>
    <w:rPr>
      <w:rFonts w:ascii="Georgia" w:hAnsi="Georgia"/>
      <w:sz w:val="16"/>
    </w:rPr>
  </w:style>
  <w:style w:type="character" w:styleId="DocumentDateChar" w:customStyle="1">
    <w:name w:val="DocumentDate Char"/>
    <w:basedOn w:val="SenderTegn"/>
    <w:link w:val="DocumentDate"/>
    <w:qFormat/>
    <w:rsid w:val="00f33d96"/>
    <w:rPr>
      <w:rFonts w:ascii="Georgia" w:hAnsi="Georgia"/>
      <w:i/>
      <w:sz w:val="20"/>
    </w:rPr>
  </w:style>
  <w:style w:type="character" w:styleId="SenderDepartmentTegn" w:customStyle="1">
    <w:name w:val="SenderDepartment Tegn"/>
    <w:basedOn w:val="DocumentDateChar"/>
    <w:link w:val="SenderDepartment"/>
    <w:qFormat/>
    <w:rsid w:val="0091653a"/>
    <w:rPr>
      <w:rFonts w:ascii="Verdana" w:hAnsi="Verdana"/>
      <w:b/>
      <w:i w:val="false"/>
      <w:sz w:val="18"/>
    </w:rPr>
  </w:style>
  <w:style w:type="character" w:styleId="SenderPrefixTegn" w:customStyle="1">
    <w:name w:val="SenderPrefix Tegn"/>
    <w:basedOn w:val="SenderTegn"/>
    <w:link w:val="SenderPrefix"/>
    <w:qFormat/>
    <w:rsid w:val="00f33d96"/>
    <w:rPr>
      <w:rFonts w:ascii="Georgia" w:hAnsi="Georgia"/>
      <w:b/>
      <w:sz w:val="16"/>
    </w:rPr>
  </w:style>
  <w:style w:type="character" w:styleId="Overskrift3Tegn" w:customStyle="1">
    <w:name w:val="Overskrift 3 Tegn"/>
    <w:basedOn w:val="DefaultParagraphFont"/>
    <w:link w:val="Overskrift3"/>
    <w:uiPriority w:val="9"/>
    <w:qFormat/>
    <w:rsid w:val="009951f1"/>
    <w:rPr>
      <w:rFonts w:ascii="Verdana" w:hAnsi="Verdana" w:eastAsia="" w:cs="Times New Roman" w:cstheme="majorBidi" w:eastAsiaTheme="majorEastAsia"/>
      <w:b/>
      <w:color w:val="4BACC6" w:themeColor="accent5"/>
      <w:szCs w:val="24"/>
    </w:rPr>
  </w:style>
  <w:style w:type="character" w:styleId="Overskrift4Tegn" w:customStyle="1">
    <w:name w:val="Overskrift 4 Tegn"/>
    <w:basedOn w:val="DefaultParagraphFont"/>
    <w:link w:val="Overskrift4"/>
    <w:uiPriority w:val="9"/>
    <w:qFormat/>
    <w:rsid w:val="00c736d9"/>
    <w:rPr>
      <w:rFonts w:ascii="Verdana" w:hAnsi="Verdana" w:eastAsia="" w:cs="Times New Roman" w:cstheme="majorBidi" w:eastAsiaTheme="majorEastAsia"/>
      <w:i/>
      <w:iCs/>
      <w:color w:val="4BACC6" w:themeColor="accent5"/>
    </w:rPr>
  </w:style>
  <w:style w:type="character" w:styleId="Overskrift5Tegn" w:customStyle="1">
    <w:name w:val="Overskrift 5 Tegn"/>
    <w:basedOn w:val="DefaultParagraphFont"/>
    <w:link w:val="Overskrift5"/>
    <w:uiPriority w:val="9"/>
    <w:qFormat/>
    <w:rsid w:val="006b277a"/>
    <w:rPr>
      <w:rFonts w:ascii="Verdana" w:hAnsi="Verdana" w:eastAsia="" w:cs="Times New Roman" w:cstheme="majorBidi" w:eastAsiaTheme="majorEastAsia"/>
      <w:i/>
      <w:color w:val="000000" w:themeColor="text1"/>
      <w:sz w:val="18"/>
    </w:rPr>
  </w:style>
  <w:style w:type="character" w:styleId="Overskrift6Tegn" w:customStyle="1">
    <w:name w:val="Overskrift 6 Tegn"/>
    <w:basedOn w:val="DefaultParagraphFont"/>
    <w:link w:val="Overskrift6"/>
    <w:uiPriority w:val="9"/>
    <w:qFormat/>
    <w:rsid w:val="006b277a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18"/>
    </w:rPr>
  </w:style>
  <w:style w:type="character" w:styleId="Overskrift7Tegn" w:customStyle="1">
    <w:name w:val="Overskrift 7 Tegn"/>
    <w:basedOn w:val="DefaultParagraphFont"/>
    <w:link w:val="Overskrift7"/>
    <w:uiPriority w:val="9"/>
    <w:semiHidden/>
    <w:qFormat/>
    <w:rsid w:val="006b277a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18"/>
    </w:rPr>
  </w:style>
  <w:style w:type="character" w:styleId="Overskrift8Tegn" w:customStyle="1">
    <w:name w:val="Overskrift 8 Tegn"/>
    <w:basedOn w:val="DefaultParagraphFont"/>
    <w:link w:val="Overskrift8"/>
    <w:uiPriority w:val="9"/>
    <w:semiHidden/>
    <w:qFormat/>
    <w:rsid w:val="006b277a"/>
    <w:rPr>
      <w:rFonts w:ascii="Cambria" w:hAnsi="Cambria" w:eastAsia="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Overskrift9Tegn" w:customStyle="1">
    <w:name w:val="Overskrift 9 Tegn"/>
    <w:basedOn w:val="DefaultParagraphFont"/>
    <w:link w:val="Overskrift9"/>
    <w:uiPriority w:val="9"/>
    <w:semiHidden/>
    <w:qFormat/>
    <w:rsid w:val="006b277a"/>
    <w:rPr>
      <w:rFonts w:ascii="Cambria" w:hAnsi="Cambria" w:eastAsia="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9f27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93069"/>
    <w:rPr>
      <w:color w:val="800080" w:themeColor="followedHyperlink"/>
      <w:u w:val="single"/>
    </w:rPr>
  </w:style>
  <w:style w:type="character" w:styleId="CodeTegn" w:customStyle="1">
    <w:name w:val="Code Tegn"/>
    <w:basedOn w:val="DefaultParagraphFont"/>
    <w:link w:val="Code"/>
    <w:qFormat/>
    <w:rsid w:val="00ff2e92"/>
    <w:rPr>
      <w:rFonts w:ascii="Courier New" w:hAnsi="Courier New" w:cs="Courier New"/>
      <w:shd w:fill="F2F2F2" w:val="clear"/>
      <w:lang w:val="en-US"/>
    </w:rPr>
  </w:style>
  <w:style w:type="character" w:styleId="FodnotetekstTegn" w:customStyle="1">
    <w:name w:val="Fodnotetekst Tegn"/>
    <w:basedOn w:val="DefaultParagraphFont"/>
    <w:link w:val="Fodnotetekst"/>
    <w:uiPriority w:val="99"/>
    <w:semiHidden/>
    <w:qFormat/>
    <w:rsid w:val="00d42d97"/>
    <w:rPr>
      <w:rFonts w:ascii="Verdana" w:hAnsi="Verdana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d42d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67b3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df4bd1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291c7f"/>
    <w:pPr>
      <w:tabs>
        <w:tab w:val="clear" w:pos="1304"/>
        <w:tab w:val="center" w:pos="4819" w:leader="none"/>
        <w:tab w:val="right" w:pos="9638" w:leader="none"/>
      </w:tabs>
      <w:spacing w:lineRule="auto" w:line="240"/>
    </w:pPr>
    <w:rPr/>
  </w:style>
  <w:style w:type="paragraph" w:styleId="Footer">
    <w:name w:val="Footer"/>
    <w:basedOn w:val="Normal"/>
    <w:link w:val="SidefodTegn"/>
    <w:uiPriority w:val="99"/>
    <w:unhideWhenUsed/>
    <w:rsid w:val="00291c7f"/>
    <w:pPr>
      <w:tabs>
        <w:tab w:val="clear" w:pos="1304"/>
        <w:tab w:val="center" w:pos="4819" w:leader="none"/>
        <w:tab w:val="right" w:pos="9638" w:leader="none"/>
      </w:tabs>
      <w:spacing w:lineRule="auto" w:line="240"/>
    </w:pPr>
    <w:rPr/>
  </w:style>
  <w:style w:type="paragraph" w:styleId="Sender" w:customStyle="1">
    <w:name w:val="Envelope Return"/>
    <w:basedOn w:val="Normal"/>
    <w:link w:val="SenderTegn"/>
    <w:rsid w:val="00fb0c95"/>
    <w:pPr>
      <w:spacing w:lineRule="atLeast" w:line="280"/>
    </w:pPr>
    <w:rPr>
      <w:sz w:val="16"/>
    </w:rPr>
  </w:style>
  <w:style w:type="paragraph" w:styleId="Annotationtext">
    <w:name w:val="annotation text"/>
    <w:basedOn w:val="Normal"/>
    <w:link w:val="KommentartekstTegn"/>
    <w:uiPriority w:val="99"/>
    <w:semiHidden/>
    <w:unhideWhenUsed/>
    <w:qFormat/>
    <w:rsid w:val="00873729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KommentaremneTegn"/>
    <w:uiPriority w:val="99"/>
    <w:semiHidden/>
    <w:unhideWhenUsed/>
    <w:qFormat/>
    <w:rsid w:val="00873729"/>
    <w:pPr/>
    <w:rPr>
      <w:b/>
      <w:bCs/>
    </w:rPr>
  </w:style>
  <w:style w:type="paragraph" w:styleId="DocumentDate" w:customStyle="1">
    <w:name w:val="DocumentDate"/>
    <w:basedOn w:val="Sender"/>
    <w:link w:val="DocumentDateChar"/>
    <w:qFormat/>
    <w:rsid w:val="00f33d96"/>
    <w:pPr/>
    <w:rPr>
      <w:i/>
      <w:sz w:val="20"/>
    </w:rPr>
  </w:style>
  <w:style w:type="paragraph" w:styleId="SenderDepartment" w:customStyle="1">
    <w:name w:val="SenderDepartment"/>
    <w:basedOn w:val="Sender"/>
    <w:link w:val="SenderDepartmentTegn"/>
    <w:qFormat/>
    <w:rsid w:val="0091653a"/>
    <w:pPr/>
    <w:rPr>
      <w:b/>
      <w:sz w:val="18"/>
    </w:rPr>
  </w:style>
  <w:style w:type="paragraph" w:styleId="SenderPrefix" w:customStyle="1">
    <w:name w:val="SenderPrefix"/>
    <w:basedOn w:val="Sender"/>
    <w:link w:val="SenderPrefixTegn"/>
    <w:qFormat/>
    <w:rsid w:val="00f33d96"/>
    <w:pPr/>
    <w:rPr>
      <w:b/>
    </w:rPr>
  </w:style>
  <w:style w:type="paragraph" w:styleId="FirstPageHeaderSpacer" w:customStyle="1">
    <w:name w:val="FirstPageHeaderSpacer"/>
    <w:basedOn w:val="Normal"/>
    <w:qFormat/>
    <w:rsid w:val="00572823"/>
    <w:pPr>
      <w:spacing w:lineRule="auto" w:line="240"/>
    </w:pPr>
    <w:rPr>
      <w:rFonts w:ascii="Algerian" w:hAnsi="Algerian"/>
      <w:sz w:val="16"/>
    </w:rPr>
  </w:style>
  <w:style w:type="paragraph" w:styleId="PagenumberTableNormal" w:customStyle="1">
    <w:name w:val="page numberTableNormal"/>
    <w:basedOn w:val="Footer"/>
    <w:qFormat/>
    <w:rsid w:val="00b10d18"/>
    <w:pPr/>
    <w:rPr>
      <w:b/>
      <w:color w:val="262626" w:themeColor="text1" w:themeTint="d9"/>
      <w:sz w:val="14"/>
    </w:rPr>
  </w:style>
  <w:style w:type="paragraph" w:styleId="Kolofon" w:customStyle="1">
    <w:name w:val="Kolofon"/>
    <w:basedOn w:val="Normal"/>
    <w:qFormat/>
    <w:rsid w:val="0035022b"/>
    <w:pPr>
      <w:jc w:val="right"/>
    </w:pPr>
    <w:rPr/>
  </w:style>
  <w:style w:type="paragraph" w:styleId="Web" w:customStyle="1">
    <w:name w:val="Web"/>
    <w:basedOn w:val="Normal"/>
    <w:qFormat/>
    <w:rsid w:val="0091653a"/>
    <w:pPr>
      <w:jc w:val="right"/>
    </w:pPr>
    <w:rPr>
      <w:b/>
      <w:color w:val="005682"/>
    </w:rPr>
  </w:style>
  <w:style w:type="paragraph" w:styleId="TOCHeading">
    <w:name w:val="TOC Heading"/>
    <w:basedOn w:val="Heading1"/>
    <w:next w:val="Normal"/>
    <w:uiPriority w:val="39"/>
    <w:unhideWhenUsed/>
    <w:qFormat/>
    <w:rsid w:val="009f27de"/>
    <w:pPr>
      <w:numPr>
        <w:ilvl w:val="0"/>
        <w:numId w:val="0"/>
      </w:numPr>
      <w:spacing w:lineRule="auto" w:line="259"/>
      <w:ind w:left="431" w:hanging="431"/>
    </w:pPr>
    <w:rPr>
      <w:rFonts w:ascii="Cambria" w:hAnsi="Cambria" w:asciiTheme="majorHAnsi" w:hAnsiTheme="majorHAnsi"/>
      <w:b w:val="false"/>
      <w:bCs w:val="false"/>
      <w:color w:val="365F91" w:themeColor="accent1" w:themeShade="bf"/>
      <w:sz w:val="32"/>
      <w:szCs w:val="32"/>
      <w:lang w:eastAsia="da-DK"/>
    </w:rPr>
  </w:style>
  <w:style w:type="paragraph" w:styleId="Contents1">
    <w:name w:val="TOC 1"/>
    <w:basedOn w:val="Normal"/>
    <w:next w:val="Normal"/>
    <w:autoRedefine/>
    <w:uiPriority w:val="39"/>
    <w:unhideWhenUsed/>
    <w:rsid w:val="00476471"/>
    <w:pPr>
      <w:tabs>
        <w:tab w:val="clear" w:pos="1304"/>
        <w:tab w:val="left" w:pos="360" w:leader="none"/>
        <w:tab w:val="right" w:pos="9572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f27de"/>
    <w:pPr>
      <w:spacing w:before="0" w:after="100"/>
      <w:ind w:left="18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f27de"/>
    <w:pPr>
      <w:spacing w:before="0" w:after="100"/>
      <w:ind w:left="360" w:hanging="0"/>
    </w:pPr>
    <w:rPr/>
  </w:style>
  <w:style w:type="paragraph" w:styleId="ListParagraph">
    <w:name w:val="List Paragraph"/>
    <w:basedOn w:val="Normal"/>
    <w:uiPriority w:val="34"/>
    <w:qFormat/>
    <w:rsid w:val="002f0cc8"/>
    <w:pPr>
      <w:spacing w:before="0" w:after="0"/>
      <w:ind w:left="720" w:hanging="0"/>
      <w:contextualSpacing/>
    </w:pPr>
    <w:rPr/>
  </w:style>
  <w:style w:type="paragraph" w:styleId="Textbody1" w:customStyle="1">
    <w:name w:val="Text body"/>
    <w:basedOn w:val="Normal"/>
    <w:qFormat/>
    <w:rsid w:val="002f0cc8"/>
    <w:pPr>
      <w:suppressAutoHyphens w:val="true"/>
      <w:spacing w:lineRule="auto" w:line="276" w:before="0" w:after="140"/>
      <w:textAlignment w:val="baseline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Code" w:customStyle="1">
    <w:name w:val="Code"/>
    <w:basedOn w:val="Normal"/>
    <w:link w:val="CodeTegn"/>
    <w:qFormat/>
    <w:rsid w:val="00ff2e92"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F2F2F2" w:themeFill="background1" w:themeFillShade="f2"/>
      <w:spacing w:before="120" w:after="120"/>
      <w:contextualSpacing/>
    </w:pPr>
    <w:rPr>
      <w:rFonts w:ascii="Courier New" w:hAnsi="Courier New" w:cs="Courier New"/>
      <w:lang w:val="en-US"/>
    </w:rPr>
  </w:style>
  <w:style w:type="paragraph" w:styleId="Footnote">
    <w:name w:val="Footnote Text"/>
    <w:basedOn w:val="Normal"/>
    <w:link w:val="FodnotetekstTegn"/>
    <w:uiPriority w:val="99"/>
    <w:semiHidden/>
    <w:unhideWhenUsed/>
    <w:rsid w:val="00d42d97"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59"/>
    <w:rsid w:val="00291c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tabel4-farve1">
    <w:name w:val="Grid Table 4 Accent 1"/>
    <w:basedOn w:val="Tabel-Normal"/>
    <w:uiPriority w:val="49"/>
    <w:rsid w:val="009b312f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os2.eu/oss-projekter/stsorgsync" TargetMode="External"/><Relationship Id="rId4" Type="http://schemas.openxmlformats.org/officeDocument/2006/relationships/hyperlink" Target="https://share-komm.kombit.dk/P133/Ibrugtagning og test/Delte dokumenter/Brugervejledning til Administrationsmodulet for leverand&#248;rer.pdf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notes" Target="footnotes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os2mo.readthedocs.io/en/latest/_static/Vejledning til tilslutning af OS2MO p&#229; Serviceplatformen som anvendersystem.pdf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A39F4-BBEA-4856-851F-F031B6EA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OS2MO - skabelon.dotx</Template>
  <TotalTime>83</TotalTime>
  <Application>LibreOffice/6.3.2.2$Linux_X86_64 LibreOffice_project/25aaf1ddce300f673870e0f45168bdf5ba1c5316</Application>
  <Pages>9</Pages>
  <Words>771</Words>
  <Characters>5205</Characters>
  <CharactersWithSpaces>5868</CharactersWithSpaces>
  <Paragraphs>108</Paragraphs>
  <Company>Holstebro Kommune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2019-09-13T07:48:00Z</dcterms:created>
  <dc:creator>Anders Sølbech Larsen (Holstebro Kommune)</dc:creator>
  <dc:description/>
  <dc:language>en-US</dc:language>
  <cp:lastModifiedBy/>
  <cp:lastPrinted>2019-09-13T09:21:00Z</cp:lastPrinted>
  <dcterms:modified xsi:type="dcterms:W3CDTF">2019-10-07T15:22:33Z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Holstebro Kommune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